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89DE" w14:textId="77777777" w:rsidR="00A622C3" w:rsidRDefault="00A622C3">
      <w:pPr>
        <w:pStyle w:val="Normal4"/>
        <w:widowControl/>
        <w:spacing w:line="360" w:lineRule="auto"/>
        <w:jc w:val="both"/>
        <w:rPr>
          <w:rFonts w:ascii="Arial" w:eastAsia="Arial" w:hAnsi="Arial" w:cs="Arial"/>
          <w:b/>
          <w:bCs/>
          <w:sz w:val="22"/>
          <w:szCs w:val="22"/>
        </w:rPr>
      </w:pPr>
    </w:p>
    <w:p w14:paraId="3C89E536" w14:textId="77777777" w:rsidR="00A622C3" w:rsidRDefault="00263D7B">
      <w:pPr>
        <w:pStyle w:val="Normal4"/>
        <w:keepNext/>
        <w:widowControl/>
        <w:tabs>
          <w:tab w:val="left" w:pos="0"/>
        </w:tabs>
        <w:spacing w:line="276" w:lineRule="auto"/>
        <w:ind w:right="284"/>
        <w:jc w:val="center"/>
        <w:rPr>
          <w:rFonts w:ascii="Arial" w:eastAsia="Arial" w:hAnsi="Arial" w:cs="Arial"/>
          <w:b/>
          <w:bCs/>
          <w:color w:val="000000"/>
          <w:sz w:val="22"/>
          <w:szCs w:val="22"/>
        </w:rPr>
      </w:pPr>
      <w:r>
        <w:rPr>
          <w:rFonts w:ascii="Arial" w:eastAsia="Arial" w:hAnsi="Arial" w:cs="Arial"/>
          <w:b/>
          <w:bCs/>
          <w:color w:val="000000"/>
          <w:sz w:val="22"/>
          <w:szCs w:val="22"/>
        </w:rPr>
        <w:t xml:space="preserve"> PODER JUDICIÁRIO FEDERAL</w:t>
      </w:r>
    </w:p>
    <w:p w14:paraId="112B211C" w14:textId="77777777" w:rsidR="00A622C3" w:rsidRDefault="00263D7B">
      <w:pPr>
        <w:pStyle w:val="Normal4"/>
        <w:keepNext/>
        <w:widowControl/>
        <w:tabs>
          <w:tab w:val="left" w:pos="0"/>
        </w:tabs>
        <w:spacing w:line="276" w:lineRule="auto"/>
        <w:ind w:right="284"/>
        <w:jc w:val="center"/>
        <w:rPr>
          <w:rFonts w:ascii="Arial" w:eastAsia="Arial" w:hAnsi="Arial" w:cs="Arial"/>
          <w:b/>
          <w:bCs/>
          <w:color w:val="000000"/>
          <w:sz w:val="22"/>
          <w:szCs w:val="22"/>
        </w:rPr>
      </w:pPr>
      <w:r>
        <w:rPr>
          <w:rFonts w:ascii="Arial" w:eastAsia="Arial" w:hAnsi="Arial" w:cs="Arial"/>
          <w:b/>
          <w:bCs/>
          <w:color w:val="000000"/>
          <w:sz w:val="22"/>
          <w:szCs w:val="22"/>
        </w:rPr>
        <w:t xml:space="preserve"> TRIBUNAL REGIONAL DO TRABALHO DA 7ª REGIÃO</w:t>
      </w:r>
    </w:p>
    <w:p w14:paraId="3EA1F681" w14:textId="77777777" w:rsidR="00A622C3" w:rsidRDefault="00263D7B">
      <w:pPr>
        <w:pStyle w:val="Normal4"/>
        <w:widowControl/>
        <w:tabs>
          <w:tab w:val="left" w:pos="0"/>
        </w:tabs>
        <w:spacing w:line="276" w:lineRule="auto"/>
        <w:ind w:right="284"/>
        <w:jc w:val="center"/>
        <w:rPr>
          <w:rFonts w:ascii="Arial" w:eastAsia="Arial" w:hAnsi="Arial" w:cs="Arial"/>
          <w:b/>
          <w:bCs/>
          <w:color w:val="000000"/>
          <w:sz w:val="22"/>
          <w:szCs w:val="22"/>
        </w:rPr>
      </w:pPr>
      <w:r>
        <w:rPr>
          <w:rFonts w:ascii="Arial" w:eastAsia="Arial" w:hAnsi="Arial" w:cs="Arial"/>
          <w:b/>
          <w:bCs/>
          <w:color w:val="000000"/>
          <w:sz w:val="22"/>
          <w:szCs w:val="22"/>
        </w:rPr>
        <w:t xml:space="preserve">TERMO DE REFERÊNCIA - </w:t>
      </w:r>
      <w:proofErr w:type="gramStart"/>
      <w:r>
        <w:rPr>
          <w:rFonts w:ascii="Arial" w:eastAsia="Arial" w:hAnsi="Arial" w:cs="Arial"/>
          <w:b/>
          <w:bCs/>
          <w:color w:val="000000"/>
          <w:sz w:val="22"/>
          <w:szCs w:val="22"/>
        </w:rPr>
        <w:t>SERVIÇO  DE</w:t>
      </w:r>
      <w:proofErr w:type="gramEnd"/>
      <w:r>
        <w:rPr>
          <w:rFonts w:ascii="Arial" w:eastAsia="Arial" w:hAnsi="Arial" w:cs="Arial"/>
          <w:b/>
          <w:bCs/>
          <w:color w:val="000000"/>
          <w:sz w:val="22"/>
          <w:szCs w:val="22"/>
        </w:rPr>
        <w:t xml:space="preserve"> ENGENHARIA</w:t>
      </w:r>
    </w:p>
    <w:p w14:paraId="667A89B4" w14:textId="77777777" w:rsidR="00A622C3" w:rsidRDefault="00A622C3">
      <w:pPr>
        <w:pStyle w:val="Normal4"/>
        <w:widowControl/>
        <w:tabs>
          <w:tab w:val="left" w:pos="0"/>
        </w:tabs>
        <w:spacing w:line="276" w:lineRule="auto"/>
        <w:ind w:right="284"/>
        <w:jc w:val="center"/>
        <w:rPr>
          <w:rFonts w:ascii="Arial" w:eastAsia="Arial" w:hAnsi="Arial" w:cs="Arial"/>
          <w:b/>
          <w:bCs/>
          <w:sz w:val="22"/>
          <w:szCs w:val="22"/>
        </w:rPr>
      </w:pPr>
    </w:p>
    <w:p w14:paraId="0601AC3D"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b/>
          <w:bCs/>
          <w:color w:val="000000"/>
          <w:sz w:val="22"/>
          <w:szCs w:val="22"/>
        </w:rPr>
        <w:t>PROAD nº 5541/2026</w:t>
      </w:r>
    </w:p>
    <w:p w14:paraId="09395E94" w14:textId="77777777" w:rsidR="00A622C3" w:rsidRDefault="00A622C3">
      <w:pPr>
        <w:pStyle w:val="Normal4"/>
        <w:widowControl/>
        <w:tabs>
          <w:tab w:val="left" w:pos="0"/>
        </w:tabs>
        <w:spacing w:line="360" w:lineRule="auto"/>
        <w:ind w:right="284"/>
        <w:jc w:val="both"/>
        <w:rPr>
          <w:rFonts w:ascii="Arial" w:eastAsia="Arial" w:hAnsi="Arial" w:cs="Arial"/>
          <w:color w:val="000000"/>
          <w:sz w:val="22"/>
          <w:szCs w:val="22"/>
        </w:rPr>
      </w:pPr>
    </w:p>
    <w:p w14:paraId="78EE1301"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b/>
          <w:bCs/>
          <w:sz w:val="22"/>
          <w:szCs w:val="22"/>
        </w:rPr>
        <w:t xml:space="preserve">1. UNIDADE REQUISITANTE: </w:t>
      </w:r>
      <w:r>
        <w:rPr>
          <w:rFonts w:ascii="Arial" w:eastAsia="Arial" w:hAnsi="Arial" w:cs="Arial"/>
          <w:sz w:val="22"/>
          <w:szCs w:val="22"/>
        </w:rPr>
        <w:t>Diretoria Geral</w:t>
      </w:r>
    </w:p>
    <w:p w14:paraId="605BF2E4" w14:textId="77777777" w:rsidR="00A622C3" w:rsidRDefault="00A622C3">
      <w:pPr>
        <w:pStyle w:val="Normal4"/>
        <w:widowControl/>
        <w:tabs>
          <w:tab w:val="left" w:pos="0"/>
        </w:tabs>
        <w:spacing w:line="360" w:lineRule="auto"/>
        <w:ind w:right="284"/>
        <w:jc w:val="both"/>
        <w:rPr>
          <w:rFonts w:ascii="Arial" w:eastAsia="Arial" w:hAnsi="Arial" w:cs="Arial"/>
          <w:color w:val="000000"/>
          <w:sz w:val="22"/>
          <w:szCs w:val="22"/>
        </w:rPr>
      </w:pPr>
    </w:p>
    <w:p w14:paraId="4281F376" w14:textId="77777777" w:rsidR="00A622C3" w:rsidRDefault="00263D7B">
      <w:pPr>
        <w:pStyle w:val="Normal4"/>
        <w:tabs>
          <w:tab w:val="left" w:pos="0"/>
        </w:tabs>
        <w:spacing w:line="360" w:lineRule="auto"/>
        <w:ind w:right="284"/>
        <w:jc w:val="both"/>
        <w:rPr>
          <w:rFonts w:ascii="Arial" w:eastAsia="Arial" w:hAnsi="Arial" w:cs="Arial"/>
          <w:b/>
          <w:bCs/>
          <w:color w:val="FF3333"/>
          <w:sz w:val="22"/>
          <w:szCs w:val="22"/>
        </w:rPr>
      </w:pPr>
      <w:r>
        <w:rPr>
          <w:rFonts w:ascii="Arial" w:eastAsia="Arial" w:hAnsi="Arial" w:cs="Arial"/>
          <w:b/>
          <w:bCs/>
          <w:color w:val="000000"/>
          <w:sz w:val="22"/>
          <w:szCs w:val="22"/>
        </w:rPr>
        <w:t>2. OBJETO:</w:t>
      </w:r>
      <w:r>
        <w:rPr>
          <w:rFonts w:ascii="Arial" w:eastAsia="Arial" w:hAnsi="Arial" w:cs="Arial"/>
          <w:b/>
          <w:bCs/>
          <w:color w:val="FF3333"/>
          <w:sz w:val="22"/>
          <w:szCs w:val="22"/>
        </w:rPr>
        <w:t xml:space="preserve"> </w:t>
      </w:r>
    </w:p>
    <w:p w14:paraId="0E65DF85" w14:textId="77777777" w:rsidR="00A622C3" w:rsidRDefault="00263D7B">
      <w:pPr>
        <w:pStyle w:val="Normal4"/>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2.1 Contratação de serviços de confecção de maquete física do Edifício Anexo II pertencente ao Complexo Sede do Tribunal Regional do Trabalho da 7ª Região, nos termos e condições estabelecidas neste instrumento.</w:t>
      </w:r>
    </w:p>
    <w:p w14:paraId="753CA923" w14:textId="77777777" w:rsidR="00A622C3" w:rsidRDefault="00263D7B">
      <w:pPr>
        <w:pStyle w:val="Normal4"/>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[CÓDIGO CATSER: 18333]</w:t>
      </w:r>
    </w:p>
    <w:p w14:paraId="333189EB" w14:textId="77777777" w:rsidR="00A622C3" w:rsidRDefault="00263D7B">
      <w:pPr>
        <w:pStyle w:val="Normal4"/>
        <w:widowControl/>
        <w:spacing w:line="360" w:lineRule="auto"/>
        <w:jc w:val="both"/>
        <w:rPr>
          <w:rFonts w:ascii="Arial" w:eastAsia="Arial" w:hAnsi="Arial" w:cs="Arial"/>
        </w:rPr>
      </w:pPr>
      <w:r>
        <w:rPr>
          <w:rFonts w:ascii="Arial" w:eastAsia="Arial" w:hAnsi="Arial" w:cs="Arial"/>
          <w:sz w:val="22"/>
          <w:szCs w:val="22"/>
        </w:rPr>
        <w:t>2.2. O serviço objeto desta contratação é caracterizado como comum, tendo em vista que os padrões de desempenho e qualidade podem ser objetivamente definidos no edital por meio de especificações usuais no mercado.</w:t>
      </w:r>
    </w:p>
    <w:p w14:paraId="0E84CCEC" w14:textId="77777777" w:rsidR="00A622C3" w:rsidRDefault="00A622C3">
      <w:pPr>
        <w:pStyle w:val="Normal4"/>
        <w:widowControl/>
        <w:spacing w:line="360" w:lineRule="auto"/>
        <w:jc w:val="both"/>
        <w:rPr>
          <w:rFonts w:ascii="Arial" w:eastAsia="Arial" w:hAnsi="Arial" w:cs="Arial"/>
          <w:color w:val="FF0000"/>
        </w:rPr>
      </w:pPr>
    </w:p>
    <w:p w14:paraId="17B63754" w14:textId="77777777" w:rsidR="00A622C3" w:rsidRDefault="00263D7B">
      <w:pPr>
        <w:pStyle w:val="Normal4"/>
        <w:widowControl/>
        <w:spacing w:line="360" w:lineRule="auto"/>
        <w:jc w:val="both"/>
        <w:rPr>
          <w:rFonts w:ascii="Arial" w:eastAsia="Arial" w:hAnsi="Arial" w:cs="Arial"/>
          <w:b/>
          <w:bCs/>
          <w:sz w:val="22"/>
          <w:szCs w:val="22"/>
        </w:rPr>
      </w:pPr>
      <w:r>
        <w:rPr>
          <w:rFonts w:ascii="Arial" w:eastAsia="Arial" w:hAnsi="Arial" w:cs="Arial"/>
          <w:b/>
          <w:bCs/>
          <w:sz w:val="22"/>
          <w:szCs w:val="22"/>
        </w:rPr>
        <w:t xml:space="preserve">Da vigência da contratação </w:t>
      </w:r>
    </w:p>
    <w:p w14:paraId="447550D5"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2.3. O prazo de vigência da contratação é de 6 (seis) meses contados da assinatura do contrato, na forma do artigo 105 da Lei n° 14.133, de 2021.</w:t>
      </w:r>
    </w:p>
    <w:p w14:paraId="63AAC183" w14:textId="77777777" w:rsidR="00A622C3" w:rsidRDefault="00263D7B">
      <w:pPr>
        <w:pStyle w:val="Normal4"/>
        <w:tabs>
          <w:tab w:val="left" w:pos="0"/>
        </w:tabs>
        <w:spacing w:line="360" w:lineRule="auto"/>
        <w:ind w:right="284"/>
        <w:jc w:val="both"/>
        <w:rPr>
          <w:rFonts w:ascii="Arial" w:eastAsia="Arial" w:hAnsi="Arial" w:cs="Arial"/>
          <w:b/>
          <w:bCs/>
          <w:sz w:val="22"/>
          <w:szCs w:val="22"/>
        </w:rPr>
      </w:pPr>
      <w:r>
        <w:rPr>
          <w:rFonts w:ascii="Arial" w:eastAsia="Arial" w:hAnsi="Arial" w:cs="Arial"/>
          <w:color w:val="FF3333"/>
        </w:rPr>
        <w:t xml:space="preserve"> </w:t>
      </w:r>
    </w:p>
    <w:p w14:paraId="28CE9908" w14:textId="77777777" w:rsidR="00A622C3" w:rsidRDefault="00263D7B">
      <w:pPr>
        <w:pStyle w:val="Normal4"/>
        <w:tabs>
          <w:tab w:val="left" w:pos="730"/>
        </w:tabs>
        <w:spacing w:line="360" w:lineRule="auto"/>
        <w:ind w:right="284"/>
        <w:jc w:val="both"/>
        <w:rPr>
          <w:rFonts w:ascii="Arial" w:eastAsia="Arial" w:hAnsi="Arial" w:cs="Arial"/>
          <w:b/>
          <w:bCs/>
          <w:color w:val="000000"/>
          <w:sz w:val="22"/>
          <w:szCs w:val="22"/>
        </w:rPr>
      </w:pPr>
      <w:r>
        <w:rPr>
          <w:rFonts w:ascii="Arial" w:eastAsia="Arial" w:hAnsi="Arial" w:cs="Arial"/>
          <w:b/>
          <w:bCs/>
          <w:color w:val="000000"/>
          <w:sz w:val="22"/>
          <w:szCs w:val="22"/>
        </w:rPr>
        <w:t>2.</w:t>
      </w:r>
      <w:r>
        <w:rPr>
          <w:rFonts w:ascii="Arial" w:eastAsia="Arial" w:hAnsi="Arial" w:cs="Arial"/>
          <w:b/>
          <w:bCs/>
          <w:sz w:val="22"/>
          <w:szCs w:val="22"/>
        </w:rPr>
        <w:t>4.</w:t>
      </w:r>
      <w:r>
        <w:rPr>
          <w:rFonts w:ascii="Arial" w:eastAsia="Arial" w:hAnsi="Arial" w:cs="Arial"/>
          <w:b/>
          <w:bCs/>
          <w:color w:val="000000"/>
          <w:sz w:val="22"/>
          <w:szCs w:val="22"/>
        </w:rPr>
        <w:t xml:space="preserve"> Desc</w:t>
      </w:r>
      <w:r>
        <w:rPr>
          <w:rFonts w:ascii="Arial" w:eastAsia="Arial" w:hAnsi="Arial" w:cs="Arial"/>
          <w:b/>
          <w:bCs/>
          <w:sz w:val="22"/>
          <w:szCs w:val="22"/>
        </w:rPr>
        <w:t xml:space="preserve">rição da solução como um todo considerado o ciclo de vida do objeto e especificação do produto </w:t>
      </w:r>
      <w:r>
        <w:rPr>
          <w:rFonts w:ascii="Arial" w:eastAsia="Arial" w:hAnsi="Arial" w:cs="Arial"/>
          <w:b/>
          <w:bCs/>
          <w:color w:val="000000"/>
          <w:sz w:val="22"/>
          <w:szCs w:val="22"/>
        </w:rPr>
        <w:t xml:space="preserve">(art. 6º, inciso XXIII, alínea ‘c’, e art. 40, §1º, inciso I, da Lei nº 14.133/2021): </w:t>
      </w:r>
    </w:p>
    <w:p w14:paraId="18D1849A" w14:textId="77777777" w:rsidR="00A622C3" w:rsidRDefault="00263D7B">
      <w:pPr>
        <w:pStyle w:val="Normal4"/>
        <w:tabs>
          <w:tab w:val="left" w:pos="730"/>
        </w:tabs>
        <w:spacing w:line="360" w:lineRule="auto"/>
        <w:ind w:right="284"/>
        <w:jc w:val="both"/>
        <w:rPr>
          <w:rFonts w:ascii="Arial" w:eastAsia="Arial" w:hAnsi="Arial" w:cs="Arial"/>
          <w:sz w:val="22"/>
          <w:szCs w:val="22"/>
        </w:rPr>
      </w:pPr>
      <w:r>
        <w:rPr>
          <w:rFonts w:ascii="Arial" w:eastAsia="Arial" w:hAnsi="Arial" w:cs="Arial"/>
          <w:sz w:val="22"/>
          <w:szCs w:val="22"/>
        </w:rPr>
        <w:t xml:space="preserve">2.4.1. Confecção de maquete física do Edifício Anexo II pertencente ao Complexo Sede do Tribunal Regional do Trabalho da 7ª Região, em escala 1:75, conforme especificações do projeto de arquitetura, tendo uma altura aproximada de 0,70m, sem considerar a base. </w:t>
      </w:r>
    </w:p>
    <w:p w14:paraId="38D8C05E" w14:textId="77777777" w:rsidR="00A622C3" w:rsidRDefault="00263D7B">
      <w:pPr>
        <w:pStyle w:val="Normal4"/>
        <w:tabs>
          <w:tab w:val="left" w:pos="730"/>
        </w:tabs>
        <w:spacing w:line="360" w:lineRule="auto"/>
        <w:ind w:right="284"/>
        <w:jc w:val="both"/>
        <w:rPr>
          <w:rFonts w:ascii="Arial" w:eastAsia="Arial" w:hAnsi="Arial" w:cs="Arial"/>
          <w:sz w:val="22"/>
          <w:szCs w:val="22"/>
        </w:rPr>
      </w:pPr>
      <w:r>
        <w:rPr>
          <w:rFonts w:ascii="Arial" w:eastAsia="Arial" w:hAnsi="Arial" w:cs="Arial"/>
          <w:sz w:val="22"/>
          <w:szCs w:val="22"/>
        </w:rPr>
        <w:t>2.4.2. Base de MDF ultra estruturada (espessura mínima de 15mm) com pezinhos niveladores e acabamento lateral em laminado melamínico ou pintura automotiva, medindo 1.00 x 0.60 x 0.10m.</w:t>
      </w:r>
    </w:p>
    <w:p w14:paraId="6E58A75E" w14:textId="77777777" w:rsidR="00A622C3" w:rsidRDefault="00263D7B">
      <w:pPr>
        <w:pStyle w:val="Normal4"/>
        <w:tabs>
          <w:tab w:val="left" w:pos="730"/>
        </w:tabs>
        <w:spacing w:line="360" w:lineRule="auto"/>
        <w:ind w:right="284"/>
        <w:jc w:val="both"/>
        <w:rPr>
          <w:rFonts w:ascii="Arial" w:eastAsia="Arial" w:hAnsi="Arial" w:cs="Arial"/>
          <w:sz w:val="22"/>
          <w:szCs w:val="22"/>
        </w:rPr>
      </w:pPr>
      <w:r>
        <w:rPr>
          <w:rFonts w:ascii="Arial" w:eastAsia="Arial" w:hAnsi="Arial" w:cs="Arial"/>
          <w:sz w:val="22"/>
          <w:szCs w:val="22"/>
        </w:rPr>
        <w:t>2.4.3. A maquete deverá ser confeccionada com os materiais: MDF (com certificação de origem socioambiental), acrílico e PVC expandido, utilizando pintura com tintas látex e automotivas de forma a garantir maior realismo no acabamento, cores mais vibrantes e excelente durabilidade. Devendo assemelhar-se o máximo possível ao especificado no projeto de arquitetura, guardadas as devidas proporções da escala reduzida.</w:t>
      </w:r>
    </w:p>
    <w:p w14:paraId="5A19BD74" w14:textId="77777777" w:rsidR="00A622C3" w:rsidRDefault="00263D7B">
      <w:pPr>
        <w:pStyle w:val="Normal4"/>
        <w:tabs>
          <w:tab w:val="left" w:pos="730"/>
        </w:tabs>
        <w:spacing w:line="360" w:lineRule="auto"/>
        <w:ind w:right="284"/>
        <w:jc w:val="both"/>
        <w:rPr>
          <w:rFonts w:ascii="Arial" w:eastAsia="Arial" w:hAnsi="Arial" w:cs="Arial"/>
          <w:sz w:val="22"/>
          <w:szCs w:val="22"/>
        </w:rPr>
      </w:pPr>
      <w:r>
        <w:rPr>
          <w:rFonts w:ascii="Arial" w:eastAsia="Arial" w:hAnsi="Arial" w:cs="Arial"/>
          <w:sz w:val="22"/>
          <w:szCs w:val="22"/>
        </w:rPr>
        <w:t xml:space="preserve">2.4.4. Deverá ser executado o processo completo de acabamento, paisagismo conforme o projeto, carrinhos e figuras humanas na escala. Também deverá estar incluída a </w:t>
      </w:r>
      <w:r>
        <w:rPr>
          <w:rFonts w:ascii="Arial" w:eastAsia="Arial" w:hAnsi="Arial" w:cs="Arial"/>
          <w:sz w:val="22"/>
          <w:szCs w:val="22"/>
        </w:rPr>
        <w:lastRenderedPageBreak/>
        <w:t>iluminação de leds na torre e nas áreas comuns, com chave liga/desliga e fiação oculta; rua, guarita, garagens, acessos, etc.</w:t>
      </w:r>
    </w:p>
    <w:p w14:paraId="2885F22B" w14:textId="77777777" w:rsidR="00A622C3" w:rsidRDefault="00263D7B">
      <w:pPr>
        <w:pStyle w:val="Normal4"/>
        <w:tabs>
          <w:tab w:val="left" w:pos="730"/>
        </w:tabs>
        <w:spacing w:line="360" w:lineRule="auto"/>
        <w:ind w:right="284"/>
        <w:jc w:val="both"/>
        <w:rPr>
          <w:rFonts w:ascii="Arial" w:eastAsia="Arial" w:hAnsi="Arial" w:cs="Arial"/>
          <w:sz w:val="22"/>
          <w:szCs w:val="22"/>
        </w:rPr>
      </w:pPr>
      <w:r>
        <w:rPr>
          <w:rFonts w:ascii="Arial" w:eastAsia="Arial" w:hAnsi="Arial" w:cs="Arial"/>
          <w:sz w:val="22"/>
          <w:szCs w:val="22"/>
        </w:rPr>
        <w:t>2.4.5. Incluir redoma de proteção completa de acrílico 4mm em toda extensão do perímetro e face superior ou caixa de vidro temperado.</w:t>
      </w:r>
    </w:p>
    <w:p w14:paraId="35A82C18" w14:textId="77777777" w:rsidR="00A622C3" w:rsidRDefault="00A622C3">
      <w:pPr>
        <w:pStyle w:val="Normal4"/>
        <w:widowControl/>
        <w:tabs>
          <w:tab w:val="left" w:pos="0"/>
        </w:tabs>
        <w:spacing w:line="360" w:lineRule="auto"/>
        <w:ind w:right="284"/>
        <w:jc w:val="both"/>
        <w:rPr>
          <w:rFonts w:ascii="Arial" w:eastAsia="Arial" w:hAnsi="Arial" w:cs="Arial"/>
          <w:color w:val="FF3333"/>
          <w:sz w:val="22"/>
          <w:szCs w:val="22"/>
        </w:rPr>
      </w:pPr>
    </w:p>
    <w:p w14:paraId="0FB071B5" w14:textId="77777777" w:rsidR="00A622C3" w:rsidRDefault="00263D7B">
      <w:pPr>
        <w:pStyle w:val="Normal4"/>
        <w:tabs>
          <w:tab w:val="left" w:pos="0"/>
        </w:tabs>
        <w:spacing w:line="360" w:lineRule="auto"/>
        <w:ind w:right="284"/>
        <w:jc w:val="both"/>
        <w:rPr>
          <w:rFonts w:ascii="Arial" w:eastAsia="Arial" w:hAnsi="Arial" w:cs="Arial"/>
          <w:b/>
          <w:bCs/>
          <w:color w:val="000000"/>
          <w:sz w:val="22"/>
          <w:szCs w:val="22"/>
        </w:rPr>
      </w:pPr>
      <w:r>
        <w:rPr>
          <w:rFonts w:ascii="Arial" w:eastAsia="Arial" w:hAnsi="Arial" w:cs="Arial"/>
          <w:color w:val="000000"/>
          <w:sz w:val="22"/>
          <w:szCs w:val="22"/>
        </w:rPr>
        <w:t xml:space="preserve">3. </w:t>
      </w:r>
      <w:r>
        <w:rPr>
          <w:rFonts w:ascii="Arial" w:eastAsia="Arial" w:hAnsi="Arial" w:cs="Arial"/>
          <w:b/>
          <w:bCs/>
          <w:color w:val="000000"/>
          <w:sz w:val="22"/>
          <w:szCs w:val="22"/>
        </w:rPr>
        <w:t>NECESSIDADE E JUSTIFICATIVA DA CONTRATAÇÃO</w:t>
      </w:r>
    </w:p>
    <w:p w14:paraId="7F06F030"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 xml:space="preserve">3.1. A presente contratação decorre da aprovação do Projeto de </w:t>
      </w:r>
      <w:proofErr w:type="spellStart"/>
      <w:r>
        <w:rPr>
          <w:rFonts w:ascii="Arial" w:eastAsia="Arial" w:hAnsi="Arial" w:cs="Arial"/>
          <w:color w:val="000000"/>
          <w:sz w:val="22"/>
          <w:szCs w:val="22"/>
        </w:rPr>
        <w:t>Retrofit</w:t>
      </w:r>
      <w:proofErr w:type="spellEnd"/>
      <w:r>
        <w:rPr>
          <w:rFonts w:ascii="Arial" w:eastAsia="Arial" w:hAnsi="Arial" w:cs="Arial"/>
          <w:color w:val="000000"/>
          <w:sz w:val="22"/>
          <w:szCs w:val="22"/>
        </w:rPr>
        <w:t xml:space="preserve"> da Fachada e Requalificação</w:t>
      </w:r>
      <w:r>
        <w:rPr>
          <w:rFonts w:ascii="Arial" w:eastAsia="Arial" w:hAnsi="Arial" w:cs="Arial"/>
          <w:sz w:val="22"/>
          <w:szCs w:val="22"/>
        </w:rPr>
        <w:t xml:space="preserve"> </w:t>
      </w:r>
      <w:r>
        <w:rPr>
          <w:rFonts w:ascii="Arial" w:eastAsia="Arial" w:hAnsi="Arial" w:cs="Arial"/>
          <w:color w:val="000000"/>
          <w:sz w:val="22"/>
          <w:szCs w:val="22"/>
        </w:rPr>
        <w:t>de Áreas Prediais Específicas do Edifício-Sede – Anexo II do TRT-7ª Região pelo Conselho Superior da Justiça</w:t>
      </w:r>
      <w:r>
        <w:rPr>
          <w:rFonts w:ascii="Arial" w:eastAsia="Arial" w:hAnsi="Arial" w:cs="Arial"/>
          <w:sz w:val="22"/>
          <w:szCs w:val="22"/>
        </w:rPr>
        <w:t xml:space="preserve"> </w:t>
      </w:r>
      <w:r>
        <w:rPr>
          <w:rFonts w:ascii="Arial" w:eastAsia="Arial" w:hAnsi="Arial" w:cs="Arial"/>
          <w:color w:val="000000"/>
          <w:sz w:val="22"/>
          <w:szCs w:val="22"/>
        </w:rPr>
        <w:t>do Trabalho (CSJT), conforme Acórdão (Processo nº CSJT-</w:t>
      </w:r>
      <w:proofErr w:type="spellStart"/>
      <w:r>
        <w:rPr>
          <w:rFonts w:ascii="Arial" w:eastAsia="Arial" w:hAnsi="Arial" w:cs="Arial"/>
          <w:color w:val="000000"/>
          <w:sz w:val="22"/>
          <w:szCs w:val="22"/>
        </w:rPr>
        <w:t>AvOb</w:t>
      </w:r>
      <w:proofErr w:type="spellEnd"/>
      <w:r>
        <w:rPr>
          <w:rFonts w:ascii="Arial" w:eastAsia="Arial" w:hAnsi="Arial" w:cs="Arial"/>
          <w:color w:val="000000"/>
          <w:sz w:val="22"/>
          <w:szCs w:val="22"/>
        </w:rPr>
        <w:t xml:space="preserve"> - 1000129-50.2026.5.90.0000). Com a</w:t>
      </w:r>
      <w:r>
        <w:rPr>
          <w:rFonts w:ascii="Arial" w:eastAsia="Arial" w:hAnsi="Arial" w:cs="Arial"/>
          <w:sz w:val="22"/>
          <w:szCs w:val="22"/>
        </w:rPr>
        <w:t xml:space="preserve"> </w:t>
      </w:r>
      <w:r>
        <w:rPr>
          <w:rFonts w:ascii="Arial" w:eastAsia="Arial" w:hAnsi="Arial" w:cs="Arial"/>
          <w:color w:val="000000"/>
          <w:sz w:val="22"/>
          <w:szCs w:val="22"/>
        </w:rPr>
        <w:t>iminente modernização da infraestrutura, identificou-se a necessidade de confecção de uma nova maquete</w:t>
      </w:r>
      <w:r>
        <w:rPr>
          <w:rFonts w:ascii="Arial" w:eastAsia="Arial" w:hAnsi="Arial" w:cs="Arial"/>
          <w:sz w:val="22"/>
          <w:szCs w:val="22"/>
        </w:rPr>
        <w:t xml:space="preserve"> </w:t>
      </w:r>
      <w:r>
        <w:rPr>
          <w:rFonts w:ascii="Arial" w:eastAsia="Arial" w:hAnsi="Arial" w:cs="Arial"/>
          <w:color w:val="000000"/>
          <w:sz w:val="22"/>
          <w:szCs w:val="22"/>
        </w:rPr>
        <w:t>física do respectivo edifício, atualizada com as intervenções aprovadas. A contratação justifica-se pelos</w:t>
      </w:r>
      <w:r>
        <w:rPr>
          <w:rFonts w:ascii="Arial" w:eastAsia="Arial" w:hAnsi="Arial" w:cs="Arial"/>
          <w:sz w:val="22"/>
          <w:szCs w:val="22"/>
        </w:rPr>
        <w:t xml:space="preserve"> </w:t>
      </w:r>
      <w:r>
        <w:rPr>
          <w:rFonts w:ascii="Arial" w:eastAsia="Arial" w:hAnsi="Arial" w:cs="Arial"/>
          <w:color w:val="000000"/>
          <w:sz w:val="22"/>
          <w:szCs w:val="22"/>
        </w:rPr>
        <w:t>seguintes aspectos</w:t>
      </w:r>
      <w:r>
        <w:rPr>
          <w:rFonts w:ascii="Arial" w:eastAsia="Arial" w:hAnsi="Arial" w:cs="Arial"/>
          <w:sz w:val="22"/>
          <w:szCs w:val="22"/>
        </w:rPr>
        <w:t xml:space="preserve">. </w:t>
      </w:r>
    </w:p>
    <w:p w14:paraId="48394D8F"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3.1.1.</w:t>
      </w:r>
      <w:r>
        <w:rPr>
          <w:rFonts w:ascii="Arial" w:eastAsia="Arial" w:hAnsi="Arial" w:cs="Arial"/>
          <w:b/>
          <w:bCs/>
          <w:color w:val="000000"/>
          <w:sz w:val="22"/>
          <w:szCs w:val="22"/>
        </w:rPr>
        <w:t xml:space="preserve"> Preservação do Valor Histórico e Cultural: </w:t>
      </w:r>
      <w:r>
        <w:rPr>
          <w:rFonts w:ascii="Arial" w:eastAsia="Arial" w:hAnsi="Arial" w:cs="Arial"/>
          <w:color w:val="000000"/>
          <w:sz w:val="22"/>
          <w:szCs w:val="22"/>
        </w:rPr>
        <w:t>O Edifício-Sede representa um marco na</w:t>
      </w:r>
      <w:r>
        <w:rPr>
          <w:rFonts w:ascii="Arial" w:eastAsia="Arial" w:hAnsi="Arial" w:cs="Arial"/>
          <w:sz w:val="22"/>
          <w:szCs w:val="22"/>
        </w:rPr>
        <w:t xml:space="preserve"> </w:t>
      </w:r>
      <w:r>
        <w:rPr>
          <w:rFonts w:ascii="Arial" w:eastAsia="Arial" w:hAnsi="Arial" w:cs="Arial"/>
          <w:color w:val="000000"/>
          <w:sz w:val="22"/>
          <w:szCs w:val="22"/>
        </w:rPr>
        <w:t>trajetória da Justiça do Trabalho da 7ª Região. A nova maquete atuará como registro histórico</w:t>
      </w:r>
      <w:r>
        <w:rPr>
          <w:rFonts w:ascii="Arial" w:eastAsia="Arial" w:hAnsi="Arial" w:cs="Arial"/>
          <w:sz w:val="22"/>
          <w:szCs w:val="22"/>
        </w:rPr>
        <w:t xml:space="preserve"> </w:t>
      </w:r>
      <w:r>
        <w:rPr>
          <w:rFonts w:ascii="Arial" w:eastAsia="Arial" w:hAnsi="Arial" w:cs="Arial"/>
          <w:color w:val="000000"/>
          <w:sz w:val="22"/>
          <w:szCs w:val="22"/>
        </w:rPr>
        <w:t>tridimensional da evolução arquitetônica e da modernização do patrimônio público do Tribunal,</w:t>
      </w:r>
      <w:r>
        <w:rPr>
          <w:rFonts w:ascii="Arial" w:eastAsia="Arial" w:hAnsi="Arial" w:cs="Arial"/>
          <w:sz w:val="22"/>
          <w:szCs w:val="22"/>
        </w:rPr>
        <w:t xml:space="preserve"> </w:t>
      </w:r>
      <w:r>
        <w:rPr>
          <w:rFonts w:ascii="Arial" w:eastAsia="Arial" w:hAnsi="Arial" w:cs="Arial"/>
          <w:color w:val="000000"/>
          <w:sz w:val="22"/>
          <w:szCs w:val="22"/>
        </w:rPr>
        <w:t>salvaguardando a memória institucional para as futuras gerações.</w:t>
      </w:r>
    </w:p>
    <w:p w14:paraId="596144FC"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3.1.2.</w:t>
      </w:r>
      <w:r>
        <w:rPr>
          <w:rFonts w:ascii="Arial" w:eastAsia="Arial" w:hAnsi="Arial" w:cs="Arial"/>
          <w:b/>
          <w:bCs/>
          <w:color w:val="000000"/>
          <w:sz w:val="22"/>
          <w:szCs w:val="22"/>
        </w:rPr>
        <w:t xml:space="preserve"> Análise Comparativa e Avaliação do Impacto:</w:t>
      </w:r>
      <w:r>
        <w:rPr>
          <w:rFonts w:ascii="Arial" w:eastAsia="Arial" w:hAnsi="Arial" w:cs="Arial"/>
          <w:color w:val="000000"/>
          <w:sz w:val="22"/>
          <w:szCs w:val="22"/>
        </w:rPr>
        <w:t xml:space="preserve"> O novo modelo físico permitirá a</w:t>
      </w:r>
      <w:r>
        <w:rPr>
          <w:rFonts w:ascii="Arial" w:eastAsia="Arial" w:hAnsi="Arial" w:cs="Arial"/>
          <w:sz w:val="22"/>
          <w:szCs w:val="22"/>
        </w:rPr>
        <w:t xml:space="preserve"> </w:t>
      </w:r>
      <w:r>
        <w:rPr>
          <w:rFonts w:ascii="Arial" w:eastAsia="Arial" w:hAnsi="Arial" w:cs="Arial"/>
          <w:color w:val="000000"/>
          <w:sz w:val="22"/>
          <w:szCs w:val="22"/>
        </w:rPr>
        <w:t xml:space="preserve">confrontação direta e visual com a Maquete anterior (representativa do estado </w:t>
      </w:r>
      <w:proofErr w:type="spellStart"/>
      <w:r>
        <w:rPr>
          <w:rFonts w:ascii="Arial" w:eastAsia="Arial" w:hAnsi="Arial" w:cs="Arial"/>
          <w:color w:val="000000"/>
          <w:sz w:val="22"/>
          <w:szCs w:val="22"/>
        </w:rPr>
        <w:t>Pré-Retrofit</w:t>
      </w:r>
      <w:proofErr w:type="spellEnd"/>
      <w:r>
        <w:rPr>
          <w:rFonts w:ascii="Arial" w:eastAsia="Arial" w:hAnsi="Arial" w:cs="Arial"/>
          <w:color w:val="000000"/>
          <w:sz w:val="22"/>
          <w:szCs w:val="22"/>
        </w:rPr>
        <w:t>). Essa</w:t>
      </w:r>
      <w:r>
        <w:rPr>
          <w:rFonts w:ascii="Arial" w:eastAsia="Arial" w:hAnsi="Arial" w:cs="Arial"/>
          <w:sz w:val="22"/>
          <w:szCs w:val="22"/>
        </w:rPr>
        <w:t xml:space="preserve"> </w:t>
      </w:r>
      <w:r>
        <w:rPr>
          <w:rFonts w:ascii="Arial" w:eastAsia="Arial" w:hAnsi="Arial" w:cs="Arial"/>
          <w:color w:val="000000"/>
          <w:sz w:val="22"/>
          <w:szCs w:val="22"/>
        </w:rPr>
        <w:t>comparação é fundamental para que a Administração, Engenheiros e Fiscais visualizem com clareza a</w:t>
      </w:r>
      <w:r>
        <w:rPr>
          <w:rFonts w:ascii="Arial" w:eastAsia="Arial" w:hAnsi="Arial" w:cs="Arial"/>
          <w:sz w:val="22"/>
          <w:szCs w:val="22"/>
        </w:rPr>
        <w:t xml:space="preserve"> </w:t>
      </w:r>
      <w:r>
        <w:rPr>
          <w:rFonts w:ascii="Arial" w:eastAsia="Arial" w:hAnsi="Arial" w:cs="Arial"/>
          <w:color w:val="000000"/>
          <w:sz w:val="22"/>
          <w:szCs w:val="22"/>
        </w:rPr>
        <w:t>evolução espacial, a transição volumétrica da fachada e a integração das novas áreas requalificadas em</w:t>
      </w:r>
      <w:r>
        <w:rPr>
          <w:rFonts w:ascii="Arial" w:eastAsia="Arial" w:hAnsi="Arial" w:cs="Arial"/>
          <w:sz w:val="22"/>
          <w:szCs w:val="22"/>
        </w:rPr>
        <w:t xml:space="preserve"> </w:t>
      </w:r>
      <w:r>
        <w:rPr>
          <w:rFonts w:ascii="Arial" w:eastAsia="Arial" w:hAnsi="Arial" w:cs="Arial"/>
          <w:color w:val="000000"/>
          <w:sz w:val="22"/>
          <w:szCs w:val="22"/>
        </w:rPr>
        <w:t>relação ao Projeto Original.</w:t>
      </w:r>
    </w:p>
    <w:p w14:paraId="03A04FD1"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 xml:space="preserve">3.1.3. </w:t>
      </w:r>
      <w:r>
        <w:rPr>
          <w:rFonts w:ascii="Arial" w:eastAsia="Arial" w:hAnsi="Arial" w:cs="Arial"/>
          <w:b/>
          <w:bCs/>
          <w:color w:val="000000"/>
          <w:sz w:val="22"/>
          <w:szCs w:val="22"/>
        </w:rPr>
        <w:t xml:space="preserve">Comunicação Institucional e Transparência: </w:t>
      </w:r>
      <w:r>
        <w:rPr>
          <w:rFonts w:ascii="Arial" w:eastAsia="Arial" w:hAnsi="Arial" w:cs="Arial"/>
          <w:color w:val="000000"/>
          <w:sz w:val="22"/>
          <w:szCs w:val="22"/>
        </w:rPr>
        <w:t>Servirá como ferramenta acessível de</w:t>
      </w:r>
      <w:r>
        <w:rPr>
          <w:rFonts w:ascii="Arial" w:eastAsia="Arial" w:hAnsi="Arial" w:cs="Arial"/>
          <w:sz w:val="22"/>
          <w:szCs w:val="22"/>
        </w:rPr>
        <w:t xml:space="preserve"> </w:t>
      </w:r>
      <w:r>
        <w:rPr>
          <w:rFonts w:ascii="Arial" w:eastAsia="Arial" w:hAnsi="Arial" w:cs="Arial"/>
          <w:color w:val="000000"/>
          <w:sz w:val="22"/>
          <w:szCs w:val="22"/>
        </w:rPr>
        <w:t xml:space="preserve">comunicação para o público externo e interno, </w:t>
      </w:r>
      <w:proofErr w:type="spellStart"/>
      <w:r>
        <w:rPr>
          <w:rFonts w:ascii="Arial" w:eastAsia="Arial" w:hAnsi="Arial" w:cs="Arial"/>
          <w:color w:val="000000"/>
          <w:sz w:val="22"/>
          <w:szCs w:val="22"/>
        </w:rPr>
        <w:t>tangibilizando</w:t>
      </w:r>
      <w:proofErr w:type="spellEnd"/>
      <w:r>
        <w:rPr>
          <w:rFonts w:ascii="Arial" w:eastAsia="Arial" w:hAnsi="Arial" w:cs="Arial"/>
          <w:color w:val="000000"/>
          <w:sz w:val="22"/>
          <w:szCs w:val="22"/>
        </w:rPr>
        <w:t xml:space="preserve"> as melhorias financiadas com recursos</w:t>
      </w:r>
      <w:r>
        <w:rPr>
          <w:rFonts w:ascii="Arial" w:eastAsia="Arial" w:hAnsi="Arial" w:cs="Arial"/>
          <w:sz w:val="22"/>
          <w:szCs w:val="22"/>
        </w:rPr>
        <w:t xml:space="preserve"> </w:t>
      </w:r>
      <w:r>
        <w:rPr>
          <w:rFonts w:ascii="Arial" w:eastAsia="Arial" w:hAnsi="Arial" w:cs="Arial"/>
          <w:color w:val="000000"/>
          <w:sz w:val="22"/>
          <w:szCs w:val="22"/>
        </w:rPr>
        <w:t>públicos de forma didática e transparente. De outra parte, a Administração pretende realizar</w:t>
      </w:r>
      <w:r>
        <w:rPr>
          <w:rFonts w:ascii="Arial" w:eastAsia="Arial" w:hAnsi="Arial" w:cs="Arial"/>
          <w:sz w:val="22"/>
          <w:szCs w:val="22"/>
        </w:rPr>
        <w:t xml:space="preserve"> </w:t>
      </w:r>
      <w:r>
        <w:rPr>
          <w:rFonts w:ascii="Arial" w:eastAsia="Arial" w:hAnsi="Arial" w:cs="Arial"/>
          <w:color w:val="000000"/>
          <w:sz w:val="22"/>
          <w:szCs w:val="22"/>
        </w:rPr>
        <w:t>Solenidade de Lançamento de Pedra Fundamental do respectivo Projeto, dada sua relevância. A</w:t>
      </w:r>
      <w:r>
        <w:rPr>
          <w:rFonts w:ascii="Arial" w:eastAsia="Arial" w:hAnsi="Arial" w:cs="Arial"/>
          <w:sz w:val="22"/>
          <w:szCs w:val="22"/>
        </w:rPr>
        <w:t xml:space="preserve"> maquete</w:t>
      </w:r>
      <w:r>
        <w:rPr>
          <w:rFonts w:ascii="Arial" w:eastAsia="Arial" w:hAnsi="Arial" w:cs="Arial"/>
          <w:color w:val="000000"/>
          <w:sz w:val="22"/>
          <w:szCs w:val="22"/>
        </w:rPr>
        <w:t>, portanto, deverá ser apresentada nesta ocasião.</w:t>
      </w:r>
    </w:p>
    <w:p w14:paraId="3822B75A" w14:textId="77777777" w:rsidR="00A622C3" w:rsidRDefault="00A622C3">
      <w:pPr>
        <w:pStyle w:val="Normal4"/>
        <w:tabs>
          <w:tab w:val="left" w:pos="0"/>
        </w:tabs>
        <w:spacing w:line="360" w:lineRule="auto"/>
        <w:ind w:right="284"/>
        <w:jc w:val="both"/>
        <w:rPr>
          <w:rFonts w:ascii="Arial" w:eastAsia="Arial" w:hAnsi="Arial" w:cs="Arial"/>
          <w:color w:val="000000"/>
          <w:sz w:val="22"/>
          <w:szCs w:val="22"/>
        </w:rPr>
      </w:pPr>
    </w:p>
    <w:p w14:paraId="26E0DAE7" w14:textId="77777777" w:rsidR="00A622C3" w:rsidRDefault="00263D7B">
      <w:pPr>
        <w:pStyle w:val="Normal4"/>
        <w:tabs>
          <w:tab w:val="left" w:pos="0"/>
        </w:tabs>
        <w:spacing w:line="360" w:lineRule="auto"/>
        <w:ind w:right="284"/>
        <w:rPr>
          <w:rFonts w:ascii="Arial" w:eastAsia="Arial" w:hAnsi="Arial" w:cs="Arial"/>
          <w:b/>
          <w:bCs/>
          <w:color w:val="000000"/>
          <w:sz w:val="22"/>
          <w:szCs w:val="22"/>
        </w:rPr>
      </w:pPr>
      <w:r>
        <w:rPr>
          <w:rFonts w:ascii="Arial" w:eastAsia="Arial" w:hAnsi="Arial" w:cs="Arial"/>
          <w:color w:val="000000"/>
          <w:sz w:val="22"/>
          <w:szCs w:val="22"/>
        </w:rPr>
        <w:t xml:space="preserve">4. </w:t>
      </w:r>
      <w:r>
        <w:rPr>
          <w:rFonts w:ascii="Arial" w:eastAsia="Arial" w:hAnsi="Arial" w:cs="Arial"/>
          <w:b/>
          <w:bCs/>
          <w:color w:val="000000"/>
          <w:sz w:val="22"/>
          <w:szCs w:val="22"/>
        </w:rPr>
        <w:t>CRITÉRIOS DE SUSTENTABILIDADE</w:t>
      </w:r>
    </w:p>
    <w:p w14:paraId="1B3A9647" w14:textId="77777777" w:rsidR="00A622C3" w:rsidRDefault="00263D7B">
      <w:pPr>
        <w:pStyle w:val="Normal4"/>
        <w:tabs>
          <w:tab w:val="left" w:pos="0"/>
        </w:tabs>
        <w:spacing w:line="360" w:lineRule="auto"/>
        <w:ind w:right="285"/>
        <w:jc w:val="both"/>
        <w:rPr>
          <w:rFonts w:ascii="Arial" w:eastAsia="Arial" w:hAnsi="Arial" w:cs="Arial"/>
          <w:color w:val="000000"/>
          <w:sz w:val="22"/>
          <w:szCs w:val="22"/>
        </w:rPr>
      </w:pPr>
      <w:r>
        <w:rPr>
          <w:rFonts w:ascii="Arial" w:eastAsia="Arial" w:hAnsi="Arial" w:cs="Arial"/>
          <w:color w:val="000000"/>
          <w:sz w:val="22"/>
          <w:szCs w:val="22"/>
        </w:rPr>
        <w:t xml:space="preserve">4.1. Além dos critérios de sustentabilidade eventualmente inseridos na descrição do objeto, devem ser atendidos os seguintes requisitos, que se </w:t>
      </w:r>
      <w:proofErr w:type="gramStart"/>
      <w:r>
        <w:rPr>
          <w:rFonts w:ascii="Arial" w:eastAsia="Arial" w:hAnsi="Arial" w:cs="Arial"/>
          <w:color w:val="000000"/>
          <w:sz w:val="22"/>
          <w:szCs w:val="22"/>
        </w:rPr>
        <w:t>baseiam  no</w:t>
      </w:r>
      <w:proofErr w:type="gramEnd"/>
      <w:r>
        <w:rPr>
          <w:rFonts w:ascii="Arial" w:eastAsia="Arial" w:hAnsi="Arial" w:cs="Arial"/>
          <w:color w:val="000000"/>
          <w:sz w:val="22"/>
          <w:szCs w:val="22"/>
        </w:rPr>
        <w:t xml:space="preserve"> Guia de Contratações Susten</w:t>
      </w:r>
      <w:r>
        <w:rPr>
          <w:rFonts w:ascii="Arial" w:eastAsia="Arial" w:hAnsi="Arial" w:cs="Arial"/>
          <w:sz w:val="22"/>
          <w:szCs w:val="22"/>
        </w:rPr>
        <w:t>táveis da Justiça do Trabalho (Ato n. 71/CSJT.GP.SG.SEGGEST, de 10 de setembro de 2025)</w:t>
      </w:r>
      <w:r>
        <w:rPr>
          <w:rFonts w:ascii="Arial" w:eastAsia="Arial" w:hAnsi="Arial" w:cs="Arial"/>
          <w:color w:val="000000"/>
          <w:sz w:val="22"/>
          <w:szCs w:val="22"/>
        </w:rPr>
        <w:t>:</w:t>
      </w:r>
    </w:p>
    <w:p w14:paraId="31A3EAC6" w14:textId="77777777" w:rsidR="00A622C3" w:rsidRDefault="00263D7B">
      <w:pPr>
        <w:pStyle w:val="Normal4"/>
        <w:numPr>
          <w:ilvl w:val="0"/>
          <w:numId w:val="1"/>
        </w:numPr>
        <w:tabs>
          <w:tab w:val="left" w:pos="0"/>
        </w:tabs>
        <w:spacing w:line="360" w:lineRule="auto"/>
        <w:ind w:left="0" w:right="285" w:firstLine="0"/>
        <w:jc w:val="both"/>
        <w:rPr>
          <w:rFonts w:ascii="Arial" w:eastAsia="Arial" w:hAnsi="Arial" w:cs="Arial"/>
          <w:sz w:val="22"/>
          <w:szCs w:val="22"/>
        </w:rPr>
      </w:pPr>
      <w:r>
        <w:rPr>
          <w:rFonts w:ascii="Arial" w:eastAsia="Arial" w:hAnsi="Arial" w:cs="Arial"/>
          <w:sz w:val="22"/>
          <w:szCs w:val="22"/>
        </w:rPr>
        <w:t xml:space="preserve">Obedecer às normas técnicas, de saúde, de higiene e de segurança do trabalho, fornecendo aos empregados os equipamentos de segurança que se fizerem necessários para a execução de serviços e fiscalizando seu uso, conforme consta da Norma </w:t>
      </w:r>
      <w:r>
        <w:rPr>
          <w:rFonts w:ascii="Arial" w:eastAsia="Arial" w:hAnsi="Arial" w:cs="Arial"/>
          <w:sz w:val="22"/>
          <w:szCs w:val="22"/>
        </w:rPr>
        <w:lastRenderedPageBreak/>
        <w:t>Regulamentadora nº 6 do MTE;</w:t>
      </w:r>
    </w:p>
    <w:p w14:paraId="7872849E" w14:textId="77777777" w:rsidR="00A622C3" w:rsidRDefault="00263D7B">
      <w:pPr>
        <w:pStyle w:val="Normal4"/>
        <w:numPr>
          <w:ilvl w:val="0"/>
          <w:numId w:val="1"/>
        </w:numPr>
        <w:tabs>
          <w:tab w:val="left" w:pos="0"/>
        </w:tabs>
        <w:spacing w:line="360" w:lineRule="auto"/>
        <w:ind w:left="0" w:right="285" w:firstLine="0"/>
        <w:jc w:val="both"/>
        <w:rPr>
          <w:rFonts w:ascii="Arial" w:eastAsia="Arial" w:hAnsi="Arial" w:cs="Arial"/>
          <w:sz w:val="22"/>
          <w:szCs w:val="22"/>
        </w:rPr>
      </w:pPr>
      <w:r>
        <w:rPr>
          <w:rFonts w:ascii="Arial" w:eastAsia="Arial" w:hAnsi="Arial" w:cs="Arial"/>
          <w:sz w:val="22"/>
          <w:szCs w:val="22"/>
        </w:rPr>
        <w:t>Priorizar o emprego de mão de obra, materiais, tecnologias e matérias-primas de origem local para execução dos serviços.</w:t>
      </w:r>
    </w:p>
    <w:p w14:paraId="5C56A7AB" w14:textId="77777777" w:rsidR="00A622C3" w:rsidRDefault="00A622C3">
      <w:pPr>
        <w:pStyle w:val="Normal4"/>
        <w:tabs>
          <w:tab w:val="left" w:pos="0"/>
        </w:tabs>
        <w:spacing w:line="360" w:lineRule="auto"/>
        <w:ind w:right="284"/>
        <w:jc w:val="both"/>
        <w:rPr>
          <w:rFonts w:ascii="Arial" w:eastAsia="Arial" w:hAnsi="Arial" w:cs="Arial"/>
          <w:b/>
          <w:bCs/>
          <w:sz w:val="22"/>
          <w:szCs w:val="22"/>
        </w:rPr>
      </w:pPr>
    </w:p>
    <w:p w14:paraId="036B3825" w14:textId="77777777" w:rsidR="00A622C3" w:rsidRDefault="00263D7B">
      <w:pPr>
        <w:pStyle w:val="Normal4"/>
        <w:tabs>
          <w:tab w:val="left" w:pos="0"/>
        </w:tabs>
        <w:spacing w:line="360" w:lineRule="auto"/>
        <w:ind w:right="284"/>
        <w:jc w:val="both"/>
        <w:rPr>
          <w:rFonts w:ascii="Arial" w:eastAsia="Arial" w:hAnsi="Arial" w:cs="Arial"/>
          <w:b/>
          <w:bCs/>
          <w:color w:val="000000"/>
          <w:sz w:val="22"/>
          <w:szCs w:val="22"/>
        </w:rPr>
      </w:pPr>
      <w:r>
        <w:rPr>
          <w:rFonts w:ascii="Arial" w:eastAsia="Arial" w:hAnsi="Arial" w:cs="Arial"/>
          <w:b/>
          <w:bCs/>
          <w:color w:val="000000"/>
          <w:sz w:val="22"/>
          <w:szCs w:val="22"/>
        </w:rPr>
        <w:t xml:space="preserve">5. ALINHAMENTO ENTRE A CONTRATAÇÃO E O PLANEJAMENTO ESTRATÉGICO DO ÓRGÃO: </w:t>
      </w:r>
    </w:p>
    <w:p w14:paraId="4355A1EF" w14:textId="77777777" w:rsidR="00A622C3" w:rsidRDefault="00263D7B">
      <w:pPr>
        <w:pStyle w:val="Normal4"/>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 xml:space="preserve">5.1. </w:t>
      </w:r>
      <w:r>
        <w:rPr>
          <w:rFonts w:ascii="Arial" w:eastAsia="Arial" w:hAnsi="Arial" w:cs="Arial"/>
          <w:color w:val="000000"/>
          <w:sz w:val="22"/>
          <w:szCs w:val="22"/>
        </w:rPr>
        <w:t>E</w:t>
      </w:r>
      <w:r>
        <w:rPr>
          <w:rFonts w:ascii="Arial" w:eastAsia="Arial" w:hAnsi="Arial" w:cs="Arial"/>
          <w:sz w:val="22"/>
          <w:szCs w:val="22"/>
        </w:rPr>
        <w:t xml:space="preserve">sta contratação atende ao disposto no Planejamento Estratégico 2021-2026 deste Regional, aprovado pelo ATO TRT7.GP nº 64/2021, observando, especialmente, o previsto no </w:t>
      </w:r>
      <w:r>
        <w:rPr>
          <w:rFonts w:ascii="Arial" w:eastAsia="Arial" w:hAnsi="Arial" w:cs="Arial"/>
          <w:b/>
          <w:bCs/>
          <w:sz w:val="22"/>
          <w:szCs w:val="22"/>
        </w:rPr>
        <w:t>Objetivo Estratégico nº. 7</w:t>
      </w:r>
      <w:r>
        <w:rPr>
          <w:rFonts w:ascii="Arial" w:eastAsia="Arial" w:hAnsi="Arial" w:cs="Arial"/>
          <w:sz w:val="22"/>
          <w:szCs w:val="22"/>
        </w:rPr>
        <w:t xml:space="preserve">: Fortalecer a Governança e a Gestão Estratégica (Aprimorar as estruturas de governança e gestão estratégica, de modo a desenvolver processos de trabalho inovadores, com suporte de sistemas digitais integrados de gestão de pessoal, de aquisições, de finanças, bem como os relacionados às atividades de </w:t>
      </w:r>
      <w:proofErr w:type="spellStart"/>
      <w:r>
        <w:rPr>
          <w:rFonts w:ascii="Arial" w:eastAsia="Arial" w:hAnsi="Arial" w:cs="Arial"/>
          <w:sz w:val="22"/>
          <w:szCs w:val="22"/>
        </w:rPr>
        <w:t>compliance</w:t>
      </w:r>
      <w:proofErr w:type="spellEnd"/>
      <w:r>
        <w:rPr>
          <w:rFonts w:ascii="Arial" w:eastAsia="Arial" w:hAnsi="Arial" w:cs="Arial"/>
          <w:sz w:val="22"/>
          <w:szCs w:val="22"/>
        </w:rPr>
        <w:t xml:space="preserve"> e gestão de riscos organizacional, que permitam a tramitação de processos e documentos e a prática de atos de gestão com maior rastreabilidade, segurança, confiabilidade, integridade, atualidade, celeridade, transparência e eficiência - Alinhamento aos Macrodesafios do Poder Judiciário: Aperfeiçoamento da Gestão Administrativa e da Governança Judiciária) e </w:t>
      </w:r>
      <w:r>
        <w:rPr>
          <w:rFonts w:ascii="Arial" w:eastAsia="Arial" w:hAnsi="Arial" w:cs="Arial"/>
          <w:b/>
          <w:bCs/>
          <w:sz w:val="22"/>
          <w:szCs w:val="22"/>
        </w:rPr>
        <w:t>Objetivo Estratégico nº. 8</w:t>
      </w:r>
      <w:r>
        <w:rPr>
          <w:rFonts w:ascii="Arial" w:eastAsia="Arial" w:hAnsi="Arial" w:cs="Arial"/>
          <w:sz w:val="22"/>
          <w:szCs w:val="22"/>
        </w:rPr>
        <w:t>: Incrementar Modelo de Gestão de Pessoas (Desenvolver, regulamentar e aplicar estratégias eficientes de alocação de força de trabalho, bem como propiciar um ambiente de trabalho saudável, levando-se em consideração os aspectos físicos e psicossociais que envolvam a organização do trabalho, a gestão por competências, tendo como referencial a corresponsabilidade das lideranças e a autorresponsabilidade dos servidores e magistrados, os normativos dos órgãos de controle, as peculiaridades da jurisdição trabalhista, as competências exigíveis para o trabalho digital, como também as modalidades de trabalho presencial e à distância, além da inovação dos métodos e processos de trabalho - Alinhamento aos Macrodesafios do Poder Judiciário: Aperfeiçoamento da Gestão de Pessoas).</w:t>
      </w:r>
    </w:p>
    <w:p w14:paraId="47321408"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sz w:val="22"/>
          <w:szCs w:val="22"/>
        </w:rPr>
        <w:t>5.2. A contratação está incluída no</w:t>
      </w:r>
      <w:r>
        <w:rPr>
          <w:rFonts w:ascii="Arial" w:eastAsia="Arial" w:hAnsi="Arial" w:cs="Arial"/>
          <w:color w:val="000000"/>
          <w:sz w:val="22"/>
          <w:szCs w:val="22"/>
        </w:rPr>
        <w:t xml:space="preserve"> PLANO ANUAL DE CONTRATAÇÕES 2026.</w:t>
      </w:r>
    </w:p>
    <w:p w14:paraId="67375850" w14:textId="77777777" w:rsidR="00A622C3" w:rsidRDefault="00A622C3">
      <w:pPr>
        <w:pStyle w:val="Normal4"/>
        <w:widowControl/>
        <w:spacing w:line="360" w:lineRule="auto"/>
        <w:jc w:val="both"/>
        <w:rPr>
          <w:rFonts w:ascii="Arial" w:eastAsia="Arial" w:hAnsi="Arial" w:cs="Arial"/>
          <w:b/>
          <w:bCs/>
          <w:color w:val="FF3333"/>
          <w:sz w:val="22"/>
          <w:szCs w:val="22"/>
        </w:rPr>
      </w:pPr>
    </w:p>
    <w:p w14:paraId="5143D3FF" w14:textId="77777777" w:rsidR="00A622C3" w:rsidRDefault="00263D7B">
      <w:pPr>
        <w:pStyle w:val="Normal4"/>
        <w:tabs>
          <w:tab w:val="left" w:pos="0"/>
        </w:tabs>
        <w:spacing w:line="360" w:lineRule="auto"/>
        <w:ind w:right="284"/>
        <w:jc w:val="both"/>
        <w:rPr>
          <w:rFonts w:ascii="Arial" w:eastAsia="Arial" w:hAnsi="Arial" w:cs="Arial"/>
          <w:b/>
          <w:bCs/>
          <w:sz w:val="22"/>
          <w:szCs w:val="22"/>
        </w:rPr>
      </w:pPr>
      <w:r>
        <w:rPr>
          <w:rFonts w:ascii="Arial" w:eastAsia="Arial" w:hAnsi="Arial" w:cs="Arial"/>
          <w:b/>
          <w:bCs/>
          <w:color w:val="000000"/>
          <w:sz w:val="22"/>
          <w:szCs w:val="22"/>
        </w:rPr>
        <w:t xml:space="preserve">6.  REQUISITOS DA CONTRATAÇÃO </w:t>
      </w:r>
    </w:p>
    <w:p w14:paraId="3228BCCC" w14:textId="77777777" w:rsidR="00A622C3" w:rsidRDefault="00263D7B">
      <w:pPr>
        <w:pStyle w:val="Normal4"/>
        <w:tabs>
          <w:tab w:val="left" w:pos="0"/>
        </w:tabs>
        <w:spacing w:line="360" w:lineRule="auto"/>
        <w:ind w:right="284"/>
        <w:jc w:val="both"/>
        <w:rPr>
          <w:rFonts w:ascii="Arial" w:eastAsia="Arial" w:hAnsi="Arial" w:cs="Arial"/>
          <w:b/>
          <w:bCs/>
          <w:sz w:val="22"/>
          <w:szCs w:val="22"/>
        </w:rPr>
      </w:pPr>
      <w:r>
        <w:rPr>
          <w:rFonts w:ascii="Arial" w:eastAsia="Arial" w:hAnsi="Arial" w:cs="Arial"/>
          <w:b/>
          <w:bCs/>
          <w:sz w:val="22"/>
          <w:szCs w:val="22"/>
        </w:rPr>
        <w:t>Subcontratação</w:t>
      </w:r>
    </w:p>
    <w:p w14:paraId="5FDFABCF" w14:textId="77777777" w:rsidR="00A622C3" w:rsidRDefault="00263D7B">
      <w:pPr>
        <w:pStyle w:val="Normal4"/>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6.1. Não será admitida a subcontratação do objeto contratual, considerando o caráter personalíssimo (infungível) do serviço e o risco de perda de precisão técnica ou sigilo.</w:t>
      </w:r>
    </w:p>
    <w:p w14:paraId="22CF0BE7" w14:textId="77777777" w:rsidR="00A622C3" w:rsidRDefault="00263D7B">
      <w:pPr>
        <w:pStyle w:val="Normal4"/>
        <w:tabs>
          <w:tab w:val="left" w:pos="0"/>
        </w:tabs>
        <w:spacing w:line="360" w:lineRule="auto"/>
        <w:ind w:right="284"/>
        <w:jc w:val="both"/>
        <w:rPr>
          <w:rFonts w:ascii="Arial" w:eastAsia="Arial" w:hAnsi="Arial" w:cs="Arial"/>
          <w:b/>
          <w:bCs/>
          <w:sz w:val="22"/>
          <w:szCs w:val="22"/>
        </w:rPr>
      </w:pPr>
      <w:r>
        <w:rPr>
          <w:rFonts w:ascii="Arial" w:eastAsia="Arial" w:hAnsi="Arial" w:cs="Arial"/>
          <w:b/>
          <w:bCs/>
          <w:sz w:val="22"/>
          <w:szCs w:val="22"/>
        </w:rPr>
        <w:t>Garantia da Contratação</w:t>
      </w:r>
    </w:p>
    <w:p w14:paraId="7C085F60" w14:textId="4F37A838" w:rsidR="00A622C3" w:rsidRDefault="00263D7B">
      <w:pPr>
        <w:pStyle w:val="Normal4"/>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6.2.</w:t>
      </w:r>
      <w:r>
        <w:rPr>
          <w:rFonts w:ascii="Arial" w:eastAsia="Arial" w:hAnsi="Arial" w:cs="Arial"/>
          <w:b/>
          <w:bCs/>
          <w:sz w:val="22"/>
          <w:szCs w:val="22"/>
        </w:rPr>
        <w:t xml:space="preserve"> </w:t>
      </w:r>
      <w:r>
        <w:rPr>
          <w:rFonts w:ascii="Arial" w:eastAsia="Arial" w:hAnsi="Arial" w:cs="Arial"/>
          <w:sz w:val="22"/>
          <w:szCs w:val="22"/>
        </w:rPr>
        <w:t xml:space="preserve">Não haverá exigência da garantia da contratação dos </w:t>
      </w:r>
      <w:proofErr w:type="spellStart"/>
      <w:r>
        <w:rPr>
          <w:rFonts w:ascii="Arial" w:eastAsia="Arial" w:hAnsi="Arial" w:cs="Arial"/>
          <w:sz w:val="22"/>
          <w:szCs w:val="22"/>
        </w:rPr>
        <w:t>arts</w:t>
      </w:r>
      <w:proofErr w:type="spellEnd"/>
      <w:r>
        <w:rPr>
          <w:rFonts w:ascii="Arial" w:eastAsia="Arial" w:hAnsi="Arial" w:cs="Arial"/>
          <w:sz w:val="22"/>
          <w:szCs w:val="22"/>
        </w:rPr>
        <w:t>. 96 e seguintes da Lei nº. 14.133/21, por se tratar de item independente e com entrega em parcela única.</w:t>
      </w:r>
    </w:p>
    <w:p w14:paraId="253D5A1E" w14:textId="77777777" w:rsidR="00B42115" w:rsidRDefault="00B42115">
      <w:pPr>
        <w:pStyle w:val="Normal4"/>
        <w:tabs>
          <w:tab w:val="left" w:pos="0"/>
        </w:tabs>
        <w:spacing w:line="360" w:lineRule="auto"/>
        <w:ind w:right="284"/>
        <w:jc w:val="both"/>
        <w:rPr>
          <w:rFonts w:ascii="Arial" w:eastAsia="Arial" w:hAnsi="Arial" w:cs="Arial"/>
          <w:i/>
          <w:iCs/>
          <w:color w:val="FF0000"/>
          <w:sz w:val="22"/>
          <w:szCs w:val="22"/>
          <w:highlight w:val="cyan"/>
        </w:rPr>
      </w:pPr>
    </w:p>
    <w:p w14:paraId="683FEA7F"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b/>
          <w:bCs/>
          <w:color w:val="000000"/>
          <w:sz w:val="22"/>
          <w:szCs w:val="22"/>
        </w:rPr>
        <w:lastRenderedPageBreak/>
        <w:t>7. EXECUÇÃO CONTRATUAL (</w:t>
      </w:r>
      <w:proofErr w:type="spellStart"/>
      <w:r>
        <w:rPr>
          <w:rFonts w:ascii="Arial" w:eastAsia="Arial" w:hAnsi="Arial" w:cs="Arial"/>
          <w:b/>
          <w:bCs/>
          <w:color w:val="000000"/>
          <w:sz w:val="22"/>
          <w:szCs w:val="22"/>
        </w:rPr>
        <w:t>arts</w:t>
      </w:r>
      <w:proofErr w:type="spellEnd"/>
      <w:r>
        <w:rPr>
          <w:rFonts w:ascii="Arial" w:eastAsia="Arial" w:hAnsi="Arial" w:cs="Arial"/>
          <w:b/>
          <w:bCs/>
          <w:color w:val="000000"/>
          <w:sz w:val="22"/>
          <w:szCs w:val="22"/>
        </w:rPr>
        <w:t>. 6º, XXIII, alínea “e” e 40, §1º, inciso II, da Lei nº 14.133/2021).</w:t>
      </w:r>
    </w:p>
    <w:p w14:paraId="7713F774"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highlight w:val="white"/>
        </w:rPr>
        <w:t xml:space="preserve">7.1. </w:t>
      </w:r>
      <w:r>
        <w:rPr>
          <w:rFonts w:ascii="Arial" w:eastAsia="Arial" w:hAnsi="Arial" w:cs="Arial"/>
          <w:sz w:val="22"/>
          <w:szCs w:val="22"/>
        </w:rPr>
        <w:t xml:space="preserve">O prazo de execução dos serviços será de até 70 (setenta) dias, contados da assinatura do contrato. </w:t>
      </w:r>
    </w:p>
    <w:p w14:paraId="54091DDE"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7.2. Caso não seja possível a entrega na data assinalada, a empresa deverá comunicar as razões respectivas com pelo menos 5 (cinco) dias de antecedência para que qualquer pleito de prorrogação de prazo seja analisado, ressalvadas situações de caso fortuito e força maior.</w:t>
      </w:r>
    </w:p>
    <w:p w14:paraId="7CCBA9E2"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7.3. A maquete deverá ser entregue no seguinte endereço: Edifício Anexo II – Complexo Sede, Rua Vicente Leite, nº 1.281 - Aldeota - Fortaleza/CE - CEP: 60150-162.</w:t>
      </w:r>
    </w:p>
    <w:p w14:paraId="2C4133F2" w14:textId="77777777" w:rsidR="00A622C3" w:rsidRDefault="00A622C3">
      <w:pPr>
        <w:pStyle w:val="Normal4"/>
        <w:widowControl/>
        <w:spacing w:line="360" w:lineRule="auto"/>
        <w:jc w:val="both"/>
        <w:rPr>
          <w:rFonts w:ascii="Arial" w:eastAsia="Arial" w:hAnsi="Arial" w:cs="Arial"/>
          <w:sz w:val="22"/>
          <w:szCs w:val="22"/>
        </w:rPr>
      </w:pPr>
    </w:p>
    <w:p w14:paraId="5C7293AB" w14:textId="77777777" w:rsidR="00A622C3" w:rsidRDefault="00263D7B">
      <w:pPr>
        <w:pStyle w:val="Normal4"/>
        <w:keepNext/>
        <w:keepLines/>
        <w:widowControl/>
        <w:tabs>
          <w:tab w:val="left" w:pos="357"/>
          <w:tab w:val="left" w:pos="567"/>
        </w:tabs>
        <w:spacing w:line="360" w:lineRule="auto"/>
        <w:jc w:val="both"/>
        <w:rPr>
          <w:rFonts w:ascii="Arial" w:eastAsia="Arial" w:hAnsi="Arial" w:cs="Arial"/>
          <w:b/>
          <w:bCs/>
          <w:sz w:val="22"/>
          <w:szCs w:val="22"/>
          <w:highlight w:val="yellow"/>
          <w:u w:val="single"/>
        </w:rPr>
      </w:pPr>
      <w:r>
        <w:rPr>
          <w:rFonts w:ascii="Arial" w:eastAsia="Arial" w:hAnsi="Arial" w:cs="Arial"/>
          <w:b/>
          <w:bCs/>
          <w:sz w:val="22"/>
          <w:szCs w:val="22"/>
        </w:rPr>
        <w:t>Especificação da garantia do serviço (</w:t>
      </w:r>
      <w:hyperlink r:id="rId8" w:anchor="art40%C2%A71">
        <w:r>
          <w:rPr>
            <w:rFonts w:ascii="Arial" w:eastAsia="Arial" w:hAnsi="Arial" w:cs="Arial"/>
            <w:b/>
            <w:bCs/>
            <w:sz w:val="22"/>
            <w:szCs w:val="22"/>
            <w:u w:val="single"/>
          </w:rPr>
          <w:t>art. 40, §1º, inciso III, da Lei nº 14.133, de 2021</w:t>
        </w:r>
      </w:hyperlink>
      <w:r>
        <w:rPr>
          <w:rFonts w:ascii="Arial" w:eastAsia="Arial" w:hAnsi="Arial" w:cs="Arial"/>
          <w:b/>
          <w:bCs/>
          <w:sz w:val="22"/>
          <w:szCs w:val="22"/>
        </w:rPr>
        <w:t>)</w:t>
      </w:r>
    </w:p>
    <w:p w14:paraId="3297EF46" w14:textId="77777777" w:rsidR="00A622C3" w:rsidRDefault="00263D7B">
      <w:pPr>
        <w:pStyle w:val="Normal4"/>
        <w:widowControl/>
        <w:numPr>
          <w:ilvl w:val="1"/>
          <w:numId w:val="2"/>
        </w:numPr>
        <w:spacing w:line="360" w:lineRule="auto"/>
        <w:ind w:left="0" w:firstLine="0"/>
        <w:jc w:val="both"/>
        <w:rPr>
          <w:rFonts w:ascii="Arial" w:eastAsia="Arial" w:hAnsi="Arial" w:cs="Arial"/>
          <w:sz w:val="22"/>
          <w:szCs w:val="22"/>
        </w:rPr>
      </w:pPr>
      <w:r>
        <w:rPr>
          <w:rFonts w:ascii="Arial" w:eastAsia="Arial" w:hAnsi="Arial" w:cs="Arial"/>
          <w:sz w:val="22"/>
          <w:szCs w:val="22"/>
        </w:rPr>
        <w:t>O prazo de garantia contratual do bem/serviço será de, no mínimo 12 (doze) meses, contado a partir do primeiro dia útil subsequente à data do recebimento definitivo do objeto.</w:t>
      </w:r>
    </w:p>
    <w:p w14:paraId="09C31657" w14:textId="77777777" w:rsidR="00A622C3" w:rsidRDefault="00263D7B">
      <w:pPr>
        <w:pStyle w:val="Normal4"/>
        <w:widowControl/>
        <w:numPr>
          <w:ilvl w:val="1"/>
          <w:numId w:val="2"/>
        </w:numPr>
        <w:spacing w:line="360" w:lineRule="auto"/>
        <w:ind w:left="0" w:firstLine="0"/>
        <w:jc w:val="both"/>
        <w:rPr>
          <w:rFonts w:ascii="Arial" w:eastAsia="Arial" w:hAnsi="Arial" w:cs="Arial"/>
          <w:sz w:val="22"/>
          <w:szCs w:val="22"/>
        </w:rPr>
      </w:pPr>
      <w:r>
        <w:rPr>
          <w:rFonts w:ascii="Arial" w:eastAsia="Arial" w:hAnsi="Arial" w:cs="Arial"/>
          <w:sz w:val="22"/>
          <w:szCs w:val="22"/>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1C3CCD24" w14:textId="77777777" w:rsidR="00A622C3" w:rsidRDefault="00A622C3">
      <w:pPr>
        <w:pStyle w:val="Normal4"/>
        <w:tabs>
          <w:tab w:val="left" w:pos="0"/>
        </w:tabs>
        <w:spacing w:line="360" w:lineRule="auto"/>
        <w:ind w:right="284"/>
        <w:jc w:val="both"/>
        <w:rPr>
          <w:rFonts w:ascii="Arial" w:eastAsia="Arial" w:hAnsi="Arial" w:cs="Arial"/>
          <w:color w:val="FF0000"/>
          <w:sz w:val="22"/>
          <w:szCs w:val="22"/>
        </w:rPr>
      </w:pPr>
    </w:p>
    <w:p w14:paraId="6396A722"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 xml:space="preserve">8.  </w:t>
      </w:r>
      <w:r>
        <w:rPr>
          <w:rFonts w:ascii="Arial" w:eastAsia="Arial" w:hAnsi="Arial" w:cs="Arial"/>
          <w:b/>
          <w:bCs/>
          <w:color w:val="000000"/>
          <w:sz w:val="22"/>
          <w:szCs w:val="22"/>
        </w:rPr>
        <w:t>MODELO DE GESTÃO DO CONTRATO (art. 6º, XXIII, alínea “f”, da Lei nº. 14.133/21)</w:t>
      </w:r>
    </w:p>
    <w:p w14:paraId="2596A104"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b/>
          <w:bCs/>
          <w:color w:val="000000"/>
          <w:sz w:val="22"/>
          <w:szCs w:val="22"/>
        </w:rPr>
        <w:t>Rotinas de Fiscalização Contratual</w:t>
      </w:r>
    </w:p>
    <w:p w14:paraId="1EABCBE1"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8.1. O contrato deverá ser executado fielmente pelas partes, de acordo com as cláusulas avençadas e as normas da Lei nº. 14.133, de 2021, e cada parte responderá pelas consequências de sua inexecução total ou parcial.</w:t>
      </w:r>
    </w:p>
    <w:p w14:paraId="3FB93DC5"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8.2. Em caso de impedimento, ordem de paralisação ou suspensão do contrato, o cronograma de execução será prorrogado automaticamente pelo tempo correspondente, anotadas tais circunstâncias mediante simples apostila (Lei nº 14.133/2021, art. 115, §5º).</w:t>
      </w:r>
    </w:p>
    <w:p w14:paraId="40838FE6"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color w:val="000000"/>
          <w:sz w:val="22"/>
          <w:szCs w:val="22"/>
        </w:rPr>
        <w:t>8.3. As comunicações entre o órgão ou entidade e a contratada devem ser realizadas por escrito sempre que o ato exigir tal formalidade, admitindo-se o uso de mensagem eletrônica para esse fim.</w:t>
      </w:r>
    </w:p>
    <w:p w14:paraId="12344286"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color w:val="000000"/>
          <w:sz w:val="22"/>
          <w:szCs w:val="22"/>
        </w:rPr>
        <w:t>8.</w:t>
      </w:r>
      <w:r>
        <w:rPr>
          <w:rFonts w:ascii="Arial" w:eastAsia="Arial" w:hAnsi="Arial" w:cs="Arial"/>
          <w:sz w:val="22"/>
          <w:szCs w:val="22"/>
        </w:rPr>
        <w:t>4</w:t>
      </w:r>
      <w:r>
        <w:rPr>
          <w:rFonts w:ascii="Arial" w:eastAsia="Arial" w:hAnsi="Arial" w:cs="Arial"/>
          <w:color w:val="000000"/>
          <w:sz w:val="22"/>
          <w:szCs w:val="22"/>
        </w:rPr>
        <w:t>. A execução do contrato deverá ser acompanhada e fiscalizada pelo(s) fiscal(is) do contrato, ou pelos respectivos substitutos (</w:t>
      </w:r>
      <w:hyperlink r:id="rId9" w:anchor="art117">
        <w:r>
          <w:rPr>
            <w:rFonts w:ascii="Arial" w:eastAsia="Arial" w:hAnsi="Arial" w:cs="Arial"/>
            <w:color w:val="000080"/>
            <w:sz w:val="22"/>
            <w:szCs w:val="22"/>
            <w:u w:val="single"/>
          </w:rPr>
          <w:t>Lei nº 14.133, de 2021, art. 117, caput</w:t>
        </w:r>
      </w:hyperlink>
      <w:r>
        <w:rPr>
          <w:rFonts w:ascii="Arial" w:eastAsia="Arial" w:hAnsi="Arial" w:cs="Arial"/>
          <w:color w:val="000000"/>
          <w:sz w:val="22"/>
          <w:szCs w:val="22"/>
        </w:rPr>
        <w:t>).</w:t>
      </w:r>
    </w:p>
    <w:p w14:paraId="79E8CB98" w14:textId="77777777" w:rsidR="00A622C3" w:rsidRDefault="00263D7B">
      <w:pPr>
        <w:pStyle w:val="Normal4"/>
        <w:widowControl/>
        <w:spacing w:line="360" w:lineRule="auto"/>
        <w:jc w:val="both"/>
        <w:rPr>
          <w:rFonts w:ascii="Arial" w:eastAsia="Arial" w:hAnsi="Arial" w:cs="Arial"/>
          <w:b/>
          <w:bCs/>
          <w:sz w:val="22"/>
          <w:szCs w:val="22"/>
        </w:rPr>
      </w:pPr>
      <w:r>
        <w:rPr>
          <w:rFonts w:ascii="Arial" w:eastAsia="Arial" w:hAnsi="Arial" w:cs="Arial"/>
          <w:b/>
          <w:bCs/>
          <w:sz w:val="22"/>
          <w:szCs w:val="22"/>
        </w:rPr>
        <w:t>Fiscalização técnica</w:t>
      </w:r>
    </w:p>
    <w:p w14:paraId="72D779E8"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5</w:t>
      </w:r>
      <w:r>
        <w:rPr>
          <w:rFonts w:ascii="Arial" w:eastAsia="Arial" w:hAnsi="Arial" w:cs="Arial"/>
          <w:color w:val="000000"/>
          <w:sz w:val="22"/>
          <w:szCs w:val="22"/>
        </w:rPr>
        <w:t>.O fiscal técnico do contrato acompanhará a execução do contrato, para que sejam cumpridas todas as condições estabelecidas no contrato, de modo a assegurar os melhores resultados para a Administração. (Decreto nº 11.246, de 2022, art. 22, VI);</w:t>
      </w:r>
    </w:p>
    <w:p w14:paraId="4F6CA481"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lastRenderedPageBreak/>
        <w:t>8.</w:t>
      </w:r>
      <w:r>
        <w:rPr>
          <w:rFonts w:ascii="Arial" w:eastAsia="Arial" w:hAnsi="Arial" w:cs="Arial"/>
          <w:sz w:val="22"/>
          <w:szCs w:val="22"/>
        </w:rPr>
        <w:t>5</w:t>
      </w:r>
      <w:r>
        <w:rPr>
          <w:rFonts w:ascii="Arial" w:eastAsia="Arial" w:hAnsi="Arial" w:cs="Arial"/>
          <w:color w:val="000000"/>
          <w:sz w:val="22"/>
          <w:szCs w:val="22"/>
        </w:rPr>
        <w:t>.1. O fiscal técnico do contrato anotará no histórico de gerenciamento do contrato todas as ocorrências relacionadas à execução do contrato, com a descrição do que for necessário para a regularização das faltas ou dos defeitos observados. (</w:t>
      </w:r>
      <w:hyperlink r:id="rId10" w:anchor="art117%C2%A71">
        <w:r>
          <w:rPr>
            <w:rFonts w:ascii="Arial" w:eastAsia="Arial" w:hAnsi="Arial" w:cs="Arial"/>
            <w:color w:val="000080"/>
            <w:sz w:val="22"/>
            <w:szCs w:val="22"/>
            <w:u w:val="single"/>
          </w:rPr>
          <w:t>Lei nº 14.133, de 2021, art. 117, §1º</w:t>
        </w:r>
      </w:hyperlink>
      <w:r>
        <w:rPr>
          <w:rFonts w:ascii="Arial" w:eastAsia="Arial" w:hAnsi="Arial" w:cs="Arial"/>
          <w:color w:val="000000"/>
          <w:sz w:val="22"/>
          <w:szCs w:val="22"/>
        </w:rPr>
        <w:t xml:space="preserve">, e </w:t>
      </w:r>
      <w:hyperlink r:id="rId11" w:anchor="art22">
        <w:r>
          <w:rPr>
            <w:rFonts w:ascii="Arial" w:eastAsia="Arial" w:hAnsi="Arial" w:cs="Arial"/>
            <w:color w:val="000080"/>
            <w:sz w:val="22"/>
            <w:szCs w:val="22"/>
            <w:u w:val="single"/>
          </w:rPr>
          <w:t>Decreto nº 11.246, de 2022, art. 22, II);</w:t>
        </w:r>
      </w:hyperlink>
    </w:p>
    <w:p w14:paraId="15EFC002"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5</w:t>
      </w:r>
      <w:r>
        <w:rPr>
          <w:rFonts w:ascii="Arial" w:eastAsia="Arial" w:hAnsi="Arial" w:cs="Arial"/>
          <w:color w:val="000000"/>
          <w:sz w:val="22"/>
          <w:szCs w:val="22"/>
        </w:rPr>
        <w:t>.2. Identificada qualquer inexatidão ou irregularidade, o fiscal técnico do contrato emitirá notificações para a correção da execução do contrato, determinando prazo para a correção. (</w:t>
      </w:r>
      <w:hyperlink r:id="rId12" w:anchor="art22">
        <w:r>
          <w:rPr>
            <w:rFonts w:ascii="Arial" w:eastAsia="Arial" w:hAnsi="Arial" w:cs="Arial"/>
            <w:color w:val="000080"/>
            <w:sz w:val="22"/>
            <w:szCs w:val="22"/>
            <w:u w:val="single"/>
          </w:rPr>
          <w:t>Decreto nº 11.246, de 2022, art. 22, III</w:t>
        </w:r>
      </w:hyperlink>
      <w:r>
        <w:rPr>
          <w:rFonts w:ascii="Arial" w:eastAsia="Arial" w:hAnsi="Arial" w:cs="Arial"/>
          <w:color w:val="000000"/>
          <w:sz w:val="22"/>
          <w:szCs w:val="22"/>
        </w:rPr>
        <w:t xml:space="preserve">); </w:t>
      </w:r>
    </w:p>
    <w:p w14:paraId="29A5C9B8"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5</w:t>
      </w:r>
      <w:r>
        <w:rPr>
          <w:rFonts w:ascii="Arial" w:eastAsia="Arial" w:hAnsi="Arial" w:cs="Arial"/>
          <w:color w:val="000000"/>
          <w:sz w:val="22"/>
          <w:szCs w:val="22"/>
        </w:rPr>
        <w:t xml:space="preserve">.3. O fiscal técnico do contrato informará ao gestor do </w:t>
      </w:r>
      <w:r>
        <w:rPr>
          <w:rFonts w:ascii="Arial" w:eastAsia="Arial" w:hAnsi="Arial" w:cs="Arial"/>
          <w:sz w:val="22"/>
          <w:szCs w:val="22"/>
        </w:rPr>
        <w:t>contrato</w:t>
      </w:r>
      <w:r>
        <w:rPr>
          <w:rFonts w:ascii="Arial" w:eastAsia="Arial" w:hAnsi="Arial" w:cs="Arial"/>
          <w:color w:val="000000"/>
          <w:sz w:val="22"/>
          <w:szCs w:val="22"/>
        </w:rPr>
        <w:t>, em tempo hábil, a situação que demandar decisão ou adoção de medidas que ultrapassem sua competência, para que adote as medidas necessárias e saneadoras, se for o caso. (</w:t>
      </w:r>
      <w:hyperlink r:id="rId13" w:anchor="art22">
        <w:r>
          <w:rPr>
            <w:rFonts w:ascii="Arial" w:eastAsia="Arial" w:hAnsi="Arial" w:cs="Arial"/>
            <w:color w:val="000080"/>
            <w:sz w:val="22"/>
            <w:szCs w:val="22"/>
            <w:u w:val="single"/>
          </w:rPr>
          <w:t>Decreto nº 11.246, de 2022, art. 22, IV</w:t>
        </w:r>
      </w:hyperlink>
      <w:r>
        <w:rPr>
          <w:rFonts w:ascii="Arial" w:eastAsia="Arial" w:hAnsi="Arial" w:cs="Arial"/>
          <w:color w:val="000000"/>
          <w:sz w:val="22"/>
          <w:szCs w:val="22"/>
        </w:rPr>
        <w:t>).</w:t>
      </w:r>
    </w:p>
    <w:p w14:paraId="58386C23"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5</w:t>
      </w:r>
      <w:r>
        <w:rPr>
          <w:rFonts w:ascii="Arial" w:eastAsia="Arial" w:hAnsi="Arial" w:cs="Arial"/>
          <w:color w:val="000000"/>
          <w:sz w:val="22"/>
          <w:szCs w:val="22"/>
        </w:rPr>
        <w:t>.4. No caso de ocorrências que possam inviabilizar a execução do contrato nas datas aprazadas, o fiscal técnico do contrato comunicará o fato imediatamente ao gestor do contrato. (</w:t>
      </w:r>
      <w:hyperlink r:id="rId14" w:anchor="art22">
        <w:r>
          <w:rPr>
            <w:rFonts w:ascii="Arial" w:eastAsia="Arial" w:hAnsi="Arial" w:cs="Arial"/>
            <w:color w:val="000080"/>
            <w:sz w:val="22"/>
            <w:szCs w:val="22"/>
            <w:u w:val="single"/>
          </w:rPr>
          <w:t>Decreto nº 11.246, de 2022, art. 22, V</w:t>
        </w:r>
      </w:hyperlink>
      <w:r>
        <w:rPr>
          <w:rFonts w:ascii="Arial" w:eastAsia="Arial" w:hAnsi="Arial" w:cs="Arial"/>
          <w:color w:val="000000"/>
          <w:sz w:val="22"/>
          <w:szCs w:val="22"/>
        </w:rPr>
        <w:t>).</w:t>
      </w:r>
    </w:p>
    <w:p w14:paraId="079961D2"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5</w:t>
      </w:r>
      <w:r>
        <w:rPr>
          <w:rFonts w:ascii="Arial" w:eastAsia="Arial" w:hAnsi="Arial" w:cs="Arial"/>
          <w:color w:val="000000"/>
          <w:sz w:val="22"/>
          <w:szCs w:val="22"/>
        </w:rPr>
        <w:t xml:space="preserve">.5. O fiscal técnico do contrato  </w:t>
      </w:r>
      <w:r>
        <w:rPr>
          <w:rFonts w:ascii="Arial" w:eastAsia="Arial" w:hAnsi="Arial" w:cs="Arial"/>
          <w:sz w:val="22"/>
          <w:szCs w:val="22"/>
        </w:rPr>
        <w:t xml:space="preserve"> deve </w:t>
      </w:r>
      <w:r>
        <w:rPr>
          <w:rFonts w:ascii="Arial" w:eastAsia="Arial" w:hAnsi="Arial" w:cs="Arial"/>
          <w:color w:val="000000"/>
          <w:sz w:val="22"/>
          <w:szCs w:val="22"/>
        </w:rPr>
        <w:t xml:space="preserve">comunicar ao gestor do contrato, em tempo hábil, o término do contrato sob sua responsabilidade, com vistas à renovação tempestiva ou à prorrogação contratual </w:t>
      </w:r>
      <w:hyperlink r:id="rId15" w:anchor="art22">
        <w:r>
          <w:rPr>
            <w:rFonts w:ascii="Arial" w:eastAsia="Arial" w:hAnsi="Arial" w:cs="Arial"/>
            <w:color w:val="000080"/>
            <w:sz w:val="22"/>
            <w:szCs w:val="22"/>
            <w:u w:val="single"/>
          </w:rPr>
          <w:t>(Decreto nº 11.246, de 2022, art. 22, VII</w:t>
        </w:r>
      </w:hyperlink>
      <w:r>
        <w:rPr>
          <w:rFonts w:ascii="Arial" w:eastAsia="Arial" w:hAnsi="Arial" w:cs="Arial"/>
          <w:color w:val="000000"/>
          <w:sz w:val="22"/>
          <w:szCs w:val="22"/>
        </w:rPr>
        <w:t>).</w:t>
      </w:r>
    </w:p>
    <w:p w14:paraId="224A665F"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8.5.6. A fiscalização de que trata esta cláusula não exclui nem reduz a responsabilidade do Contratado, inclusive perante terceiros, por qualquer irregularidade, ainda que resultante de imperfeições técnicas, vícios redibitórios, ou emprego de material inadequado ou de qualidade inferior e, na ocorrência desta, não implica corresponsabilidade do Contratante ou de seus agentes, gestores e fiscais, de conformidade.</w:t>
      </w:r>
    </w:p>
    <w:p w14:paraId="1B45FD04" w14:textId="77777777" w:rsidR="00A622C3" w:rsidRDefault="00263D7B">
      <w:pPr>
        <w:pStyle w:val="Normal4"/>
        <w:widowControl/>
        <w:spacing w:line="360" w:lineRule="auto"/>
        <w:jc w:val="both"/>
        <w:rPr>
          <w:rFonts w:ascii="Arial" w:eastAsia="Arial" w:hAnsi="Arial" w:cs="Arial"/>
          <w:b/>
          <w:bCs/>
          <w:sz w:val="22"/>
          <w:szCs w:val="22"/>
        </w:rPr>
      </w:pPr>
      <w:r>
        <w:rPr>
          <w:rFonts w:ascii="Arial" w:eastAsia="Arial" w:hAnsi="Arial" w:cs="Arial"/>
          <w:b/>
          <w:bCs/>
          <w:sz w:val="22"/>
          <w:szCs w:val="22"/>
        </w:rPr>
        <w:t>Fiscalização Administrativa</w:t>
      </w:r>
    </w:p>
    <w:p w14:paraId="67084643"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6</w:t>
      </w:r>
      <w:r>
        <w:rPr>
          <w:rFonts w:ascii="Arial" w:eastAsia="Arial" w:hAnsi="Arial" w:cs="Arial"/>
          <w:color w:val="000000"/>
          <w:sz w:val="22"/>
          <w:szCs w:val="22"/>
        </w:rPr>
        <w:t>. 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6" w:anchor="art23">
        <w:r>
          <w:rPr>
            <w:rFonts w:ascii="Arial" w:eastAsia="Arial" w:hAnsi="Arial" w:cs="Arial"/>
            <w:color w:val="000080"/>
            <w:sz w:val="22"/>
            <w:szCs w:val="22"/>
            <w:u w:val="single"/>
          </w:rPr>
          <w:t>Art. 23, I e II, do Decreto nº 11.246, de 2022</w:t>
        </w:r>
      </w:hyperlink>
      <w:r>
        <w:rPr>
          <w:rFonts w:ascii="Arial" w:eastAsia="Arial" w:hAnsi="Arial" w:cs="Arial"/>
          <w:color w:val="000000"/>
          <w:sz w:val="22"/>
          <w:szCs w:val="22"/>
        </w:rPr>
        <w:t>).</w:t>
      </w:r>
    </w:p>
    <w:p w14:paraId="437C60F1"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6</w:t>
      </w:r>
      <w:r>
        <w:rPr>
          <w:rFonts w:ascii="Arial" w:eastAsia="Arial" w:hAnsi="Arial" w:cs="Arial"/>
          <w:color w:val="000000"/>
          <w:sz w:val="22"/>
          <w:szCs w:val="22"/>
        </w:rPr>
        <w:t>.1. Caso ocorra descumprimento das obrigações contratuais, o fiscal administrativo do contrato atuará tempestivamente na solução do problema, reportando ao gestor do contrato para que tome as providências cabíveis, quando ultrapassar a sua competência; (</w:t>
      </w:r>
      <w:hyperlink r:id="rId17" w:anchor="art23">
        <w:r>
          <w:rPr>
            <w:rFonts w:ascii="Arial" w:eastAsia="Arial" w:hAnsi="Arial" w:cs="Arial"/>
            <w:color w:val="000080"/>
            <w:sz w:val="22"/>
            <w:szCs w:val="22"/>
            <w:u w:val="single"/>
          </w:rPr>
          <w:t>Decreto nº 11.246, de 2022, art. 23, IV</w:t>
        </w:r>
      </w:hyperlink>
      <w:r>
        <w:rPr>
          <w:rFonts w:ascii="Arial" w:eastAsia="Arial" w:hAnsi="Arial" w:cs="Arial"/>
          <w:color w:val="000000"/>
          <w:sz w:val="22"/>
          <w:szCs w:val="22"/>
        </w:rPr>
        <w:t>).</w:t>
      </w:r>
    </w:p>
    <w:p w14:paraId="159FC6E9"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8.6.2. O fiscal administrativo do contrato comunicará ao gestor do contrato, em tempo hábil, o término do contrato sob sua responsabilidade, com vistas à tempestiva renovação ou prorrogação contratual. (</w:t>
      </w:r>
      <w:hyperlink r:id="rId18" w:anchor="art22">
        <w:r>
          <w:rPr>
            <w:rFonts w:ascii="Arial" w:eastAsia="Arial" w:hAnsi="Arial" w:cs="Arial"/>
            <w:color w:val="000080"/>
            <w:sz w:val="22"/>
            <w:szCs w:val="22"/>
            <w:u w:val="single"/>
          </w:rPr>
          <w:t>Decreto nº 11.246, de 2022, art. 22, VII</w:t>
        </w:r>
      </w:hyperlink>
      <w:r>
        <w:rPr>
          <w:rFonts w:ascii="Arial" w:eastAsia="Arial" w:hAnsi="Arial" w:cs="Arial"/>
          <w:sz w:val="22"/>
          <w:szCs w:val="22"/>
        </w:rPr>
        <w:t>).</w:t>
      </w:r>
    </w:p>
    <w:p w14:paraId="2D9E8574" w14:textId="77777777" w:rsidR="00A622C3" w:rsidRDefault="00263D7B">
      <w:pPr>
        <w:pStyle w:val="Normal4"/>
        <w:widowControl/>
        <w:spacing w:line="360" w:lineRule="auto"/>
        <w:jc w:val="both"/>
        <w:rPr>
          <w:rFonts w:ascii="Arial" w:eastAsia="Arial" w:hAnsi="Arial" w:cs="Arial"/>
          <w:b/>
          <w:bCs/>
          <w:sz w:val="22"/>
          <w:szCs w:val="22"/>
        </w:rPr>
      </w:pPr>
      <w:r>
        <w:rPr>
          <w:rFonts w:ascii="Arial" w:eastAsia="Arial" w:hAnsi="Arial" w:cs="Arial"/>
          <w:b/>
          <w:bCs/>
          <w:sz w:val="22"/>
          <w:szCs w:val="22"/>
        </w:rPr>
        <w:t>Compete ao Gestor do Contrato</w:t>
      </w:r>
    </w:p>
    <w:p w14:paraId="35727E72"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7</w:t>
      </w:r>
      <w:r>
        <w:rPr>
          <w:rFonts w:ascii="Arial" w:eastAsia="Arial" w:hAnsi="Arial" w:cs="Arial"/>
          <w:color w:val="000000"/>
          <w:sz w:val="22"/>
          <w:szCs w:val="22"/>
        </w:rPr>
        <w:t xml:space="preserve">. coordenar a atualização do processo de acompanhamento e fiscalização do contrato contendo todos os registros formais da execução no histórico de gerenciamento do contrato, </w:t>
      </w:r>
      <w:r>
        <w:rPr>
          <w:rFonts w:ascii="Arial" w:eastAsia="Arial" w:hAnsi="Arial" w:cs="Arial"/>
          <w:color w:val="000000"/>
          <w:sz w:val="22"/>
          <w:szCs w:val="22"/>
        </w:rPr>
        <w:lastRenderedPageBreak/>
        <w:t>a exemplo da ordem de serviço, do registro de ocorrências, das alterações e das prorrogações contratuais, elaborando relatório com vistas à verificação da necessidade de adequações do contrato para fins de atendimento da finalidade da administração. (</w:t>
      </w:r>
      <w:hyperlink r:id="rId19" w:anchor="art21">
        <w:r>
          <w:rPr>
            <w:rFonts w:ascii="Arial" w:eastAsia="Arial" w:hAnsi="Arial" w:cs="Arial"/>
            <w:color w:val="000000"/>
            <w:sz w:val="22"/>
            <w:szCs w:val="22"/>
          </w:rPr>
          <w:t>Decreto nº 11.246, de 2022, art. 21, IV</w:t>
        </w:r>
      </w:hyperlink>
      <w:r>
        <w:rPr>
          <w:rFonts w:ascii="Arial" w:eastAsia="Arial" w:hAnsi="Arial" w:cs="Arial"/>
          <w:color w:val="000000"/>
          <w:sz w:val="22"/>
          <w:szCs w:val="22"/>
        </w:rPr>
        <w:t>).</w:t>
      </w:r>
    </w:p>
    <w:p w14:paraId="0469A3F3"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8</w:t>
      </w:r>
      <w:r>
        <w:rPr>
          <w:rFonts w:ascii="Arial" w:eastAsia="Arial" w:hAnsi="Arial" w:cs="Arial"/>
          <w:color w:val="000000"/>
          <w:sz w:val="22"/>
          <w:szCs w:val="22"/>
        </w:rPr>
        <w:t>. acompanhar a manutenção das condições de habilitação da contratada, para fins de empenho de despesa e pagamento, e anotará os problemas que obstem o fluxo normal da liquidação e do pagamento da despesa no relatório de riscos eventuais. (</w:t>
      </w:r>
      <w:hyperlink r:id="rId20" w:anchor="art21">
        <w:r>
          <w:rPr>
            <w:rFonts w:ascii="Arial" w:eastAsia="Arial" w:hAnsi="Arial" w:cs="Arial"/>
            <w:color w:val="000080"/>
            <w:sz w:val="22"/>
            <w:szCs w:val="22"/>
            <w:u w:val="single"/>
          </w:rPr>
          <w:t>Decreto nº 11.246, de 2022, art. 21, III</w:t>
        </w:r>
      </w:hyperlink>
      <w:r>
        <w:rPr>
          <w:rFonts w:ascii="Arial" w:eastAsia="Arial" w:hAnsi="Arial" w:cs="Arial"/>
          <w:color w:val="000000"/>
          <w:sz w:val="22"/>
          <w:szCs w:val="22"/>
        </w:rPr>
        <w:t>).</w:t>
      </w:r>
    </w:p>
    <w:p w14:paraId="63C34E28"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9</w:t>
      </w:r>
      <w:r>
        <w:rPr>
          <w:rFonts w:ascii="Arial" w:eastAsia="Arial" w:hAnsi="Arial" w:cs="Arial"/>
          <w:color w:val="000000"/>
          <w:sz w:val="22"/>
          <w:szCs w:val="22"/>
        </w:rPr>
        <w:t>. emitir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hyperlink r:id="rId21" w:anchor="art21">
        <w:r>
          <w:rPr>
            <w:rFonts w:ascii="Arial" w:eastAsia="Arial" w:hAnsi="Arial" w:cs="Arial"/>
            <w:color w:val="000080"/>
            <w:sz w:val="22"/>
            <w:szCs w:val="22"/>
            <w:u w:val="single"/>
          </w:rPr>
          <w:t>Decreto nº 11.246, de 2022, art. 21, VIII</w:t>
        </w:r>
      </w:hyperlink>
      <w:r>
        <w:rPr>
          <w:rFonts w:ascii="Arial" w:eastAsia="Arial" w:hAnsi="Arial" w:cs="Arial"/>
          <w:color w:val="000000"/>
          <w:sz w:val="22"/>
          <w:szCs w:val="22"/>
        </w:rPr>
        <w:t>).</w:t>
      </w:r>
    </w:p>
    <w:p w14:paraId="569A4D2A"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10</w:t>
      </w:r>
      <w:r>
        <w:rPr>
          <w:rFonts w:ascii="Arial" w:eastAsia="Arial" w:hAnsi="Arial" w:cs="Arial"/>
          <w:color w:val="000000"/>
          <w:sz w:val="22"/>
          <w:szCs w:val="22"/>
        </w:rPr>
        <w:t>. tomar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hyperlink r:id="rId22" w:anchor="art21">
        <w:r>
          <w:rPr>
            <w:rFonts w:ascii="Arial" w:eastAsia="Arial" w:hAnsi="Arial" w:cs="Arial"/>
            <w:color w:val="000080"/>
            <w:sz w:val="22"/>
            <w:szCs w:val="22"/>
            <w:u w:val="single"/>
          </w:rPr>
          <w:t>Decreto nº 11.246, de 2022, art. 21, X</w:t>
        </w:r>
      </w:hyperlink>
      <w:r>
        <w:rPr>
          <w:rFonts w:ascii="Arial" w:eastAsia="Arial" w:hAnsi="Arial" w:cs="Arial"/>
          <w:color w:val="000000"/>
          <w:sz w:val="22"/>
          <w:szCs w:val="22"/>
        </w:rPr>
        <w:t>).</w:t>
      </w:r>
    </w:p>
    <w:p w14:paraId="788F2F07"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11</w:t>
      </w:r>
      <w:r>
        <w:rPr>
          <w:rFonts w:ascii="Arial" w:eastAsia="Arial" w:hAnsi="Arial" w:cs="Arial"/>
          <w:color w:val="000000"/>
          <w:sz w:val="22"/>
          <w:szCs w:val="22"/>
        </w:rPr>
        <w:t xml:space="preserve">. </w:t>
      </w:r>
      <w:r>
        <w:rPr>
          <w:rFonts w:ascii="Arial" w:eastAsia="Arial" w:hAnsi="Arial" w:cs="Arial"/>
          <w:sz w:val="22"/>
          <w:szCs w:val="22"/>
        </w:rPr>
        <w:t>elaborar</w:t>
      </w:r>
      <w:r>
        <w:rPr>
          <w:rFonts w:ascii="Arial" w:eastAsia="Arial" w:hAnsi="Arial" w:cs="Arial"/>
          <w:color w:val="000000"/>
          <w:sz w:val="22"/>
          <w:szCs w:val="22"/>
        </w:rPr>
        <w:t xml:space="preserve"> relatório final com informações sobre a consecução dos objetivos que tenham justificado a contratação e eventuais condutas a serem adotadas para o aprimoramento das atividades da Administração. (</w:t>
      </w:r>
      <w:hyperlink r:id="rId23" w:anchor="art21">
        <w:r>
          <w:rPr>
            <w:rFonts w:ascii="Arial" w:eastAsia="Arial" w:hAnsi="Arial" w:cs="Arial"/>
            <w:color w:val="000080"/>
            <w:sz w:val="22"/>
            <w:szCs w:val="22"/>
            <w:u w:val="single"/>
          </w:rPr>
          <w:t>Decreto nº 11.246, de 2022, art. 21, VI</w:t>
        </w:r>
      </w:hyperlink>
      <w:r>
        <w:rPr>
          <w:rFonts w:ascii="Arial" w:eastAsia="Arial" w:hAnsi="Arial" w:cs="Arial"/>
          <w:color w:val="000000"/>
          <w:sz w:val="22"/>
          <w:szCs w:val="22"/>
        </w:rPr>
        <w:t>).</w:t>
      </w:r>
    </w:p>
    <w:p w14:paraId="280C1987" w14:textId="77777777" w:rsidR="00A622C3" w:rsidRDefault="00263D7B">
      <w:pPr>
        <w:pStyle w:val="Normal4"/>
        <w:widowControl/>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12</w:t>
      </w:r>
      <w:r>
        <w:rPr>
          <w:rFonts w:ascii="Arial" w:eastAsia="Arial" w:hAnsi="Arial" w:cs="Arial"/>
          <w:color w:val="000000"/>
          <w:sz w:val="22"/>
          <w:szCs w:val="22"/>
        </w:rPr>
        <w:t xml:space="preserve">. enviar a documentação pertinente ao setor </w:t>
      </w:r>
      <w:r>
        <w:rPr>
          <w:rFonts w:ascii="Arial" w:eastAsia="Arial" w:hAnsi="Arial" w:cs="Arial"/>
          <w:sz w:val="22"/>
          <w:szCs w:val="22"/>
        </w:rPr>
        <w:t>competente</w:t>
      </w:r>
      <w:r>
        <w:rPr>
          <w:rFonts w:ascii="Arial" w:eastAsia="Arial" w:hAnsi="Arial" w:cs="Arial"/>
          <w:color w:val="000000"/>
          <w:sz w:val="22"/>
          <w:szCs w:val="22"/>
        </w:rPr>
        <w:t xml:space="preserve"> para a formalização dos procedimentos de liquidação e pagamento, no valor dimensionado pela fiscalização e gestão nos termos do contrato.</w:t>
      </w:r>
    </w:p>
    <w:p w14:paraId="733C1ECA" w14:textId="77777777" w:rsidR="00A622C3" w:rsidRDefault="00A622C3">
      <w:pPr>
        <w:pStyle w:val="Normal4"/>
        <w:widowControl/>
        <w:spacing w:line="360" w:lineRule="auto"/>
        <w:jc w:val="both"/>
        <w:rPr>
          <w:rFonts w:ascii="Arial" w:eastAsia="Arial" w:hAnsi="Arial" w:cs="Arial"/>
          <w:color w:val="FF0000"/>
          <w:sz w:val="22"/>
          <w:szCs w:val="22"/>
        </w:rPr>
      </w:pPr>
    </w:p>
    <w:p w14:paraId="647627E9" w14:textId="77777777" w:rsidR="00A622C3" w:rsidRDefault="00263D7B">
      <w:pPr>
        <w:pStyle w:val="Normal4"/>
        <w:widowControl/>
        <w:spacing w:line="360" w:lineRule="auto"/>
        <w:ind w:left="425" w:hanging="425"/>
        <w:jc w:val="both"/>
        <w:rPr>
          <w:rFonts w:ascii="Arial" w:eastAsia="Arial" w:hAnsi="Arial" w:cs="Arial"/>
          <w:color w:val="000000"/>
          <w:sz w:val="22"/>
          <w:szCs w:val="22"/>
        </w:rPr>
      </w:pPr>
      <w:r>
        <w:rPr>
          <w:rFonts w:ascii="Arial" w:eastAsia="Arial" w:hAnsi="Arial" w:cs="Arial"/>
          <w:b/>
          <w:bCs/>
          <w:sz w:val="22"/>
          <w:szCs w:val="22"/>
        </w:rPr>
        <w:t>Do Recebimento</w:t>
      </w:r>
    </w:p>
    <w:p w14:paraId="23E611A7"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8.13. 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4C3FFEBF"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8.14. Os bens poderão ser rejeitados, no todo ou em parte, inclusive antes do recebimento provisório, quando em desacordo com as especificações constantes no Termo de Referência e na proposta, devendo ser substituídos no prazo de 10 (dez) dias, a contar da notificação da contratada, às suas custas, sem prejuízo da aplicação das penalidades.</w:t>
      </w:r>
    </w:p>
    <w:p w14:paraId="4E1CBF60"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 xml:space="preserve">8.15. O recebimento definitivo ocorrerá no prazo de 10 (dez) dias úteis, a contar do recebimento da nota fiscal ou instrumento de cobrança equivalente pela Administração, </w:t>
      </w:r>
      <w:r>
        <w:rPr>
          <w:rFonts w:ascii="Arial" w:eastAsia="Arial" w:hAnsi="Arial" w:cs="Arial"/>
          <w:sz w:val="22"/>
          <w:szCs w:val="22"/>
        </w:rPr>
        <w:lastRenderedPageBreak/>
        <w:t>após a verificação da qualidade e quantidade do material e consequente aceitação mediante termo detalhado.</w:t>
      </w:r>
    </w:p>
    <w:p w14:paraId="3FE6A57C"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8.16. Para as contratações decorrentes de despesas cujos valores não ultrapassem o limite de que trata o inciso II do art. 75 da Lei nº 14.133, de 2021, o prazo máximo para o recebimento definitivo será de até 10(dez) dias úteis.</w:t>
      </w:r>
    </w:p>
    <w:p w14:paraId="0E675733"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8.17. O prazo para recebimento definitivo poderá ser excepcionalmente prorrogado, de forma justificada, por igual período, quando houver necessidade de diligências para a aferição do atendimento das exigências contratuais.</w:t>
      </w:r>
    </w:p>
    <w:p w14:paraId="2D88E824"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 xml:space="preserve">8.18. No caso de controvérsia sobre a execução do objeto, quanto à dimensão, qualidade e </w:t>
      </w:r>
      <w:proofErr w:type="gramStart"/>
      <w:r>
        <w:rPr>
          <w:rFonts w:ascii="Arial" w:eastAsia="Arial" w:hAnsi="Arial" w:cs="Arial"/>
          <w:sz w:val="22"/>
          <w:szCs w:val="22"/>
        </w:rPr>
        <w:t>quantidade,deverá</w:t>
      </w:r>
      <w:proofErr w:type="gramEnd"/>
      <w:r>
        <w:rPr>
          <w:rFonts w:ascii="Arial" w:eastAsia="Arial" w:hAnsi="Arial" w:cs="Arial"/>
          <w:sz w:val="22"/>
          <w:szCs w:val="22"/>
        </w:rPr>
        <w:t xml:space="preserve"> ser observado o teor do art. 143 da Lei nº 14.133, de 2021, comunicando-se à empresa para emissão de Nota Fiscal no que </w:t>
      </w:r>
      <w:proofErr w:type="spellStart"/>
      <w:r>
        <w:rPr>
          <w:rFonts w:ascii="Arial" w:eastAsia="Arial" w:hAnsi="Arial" w:cs="Arial"/>
          <w:sz w:val="22"/>
          <w:szCs w:val="22"/>
        </w:rPr>
        <w:t>pertine</w:t>
      </w:r>
      <w:proofErr w:type="spellEnd"/>
      <w:r>
        <w:rPr>
          <w:rFonts w:ascii="Arial" w:eastAsia="Arial" w:hAnsi="Arial" w:cs="Arial"/>
          <w:sz w:val="22"/>
          <w:szCs w:val="22"/>
        </w:rPr>
        <w:t xml:space="preserve"> à parcela incontroversa da execução do objeto, para efeito de liquidação e pagamento.</w:t>
      </w:r>
    </w:p>
    <w:p w14:paraId="783E71C9"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8.19.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EA01B84"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8.20. O recebimento provisório ou definitivo não excluirá a responsabilidade civil pela solidez e pela segurança do serviço nem a responsabilidade ético-profissional pela perfeita execução do contrato.</w:t>
      </w:r>
    </w:p>
    <w:p w14:paraId="2F4C5538" w14:textId="77777777" w:rsidR="00A622C3" w:rsidRDefault="00A622C3">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p>
    <w:p w14:paraId="1E6E1D03" w14:textId="77777777" w:rsidR="00A622C3" w:rsidRDefault="00263D7B">
      <w:pPr>
        <w:pStyle w:val="Normal4"/>
        <w:keepNext/>
        <w:keepLines/>
        <w:widowControl/>
        <w:pBdr>
          <w:top w:val="nil"/>
          <w:left w:val="nil"/>
          <w:bottom w:val="nil"/>
          <w:right w:val="nil"/>
          <w:between w:val="nil"/>
        </w:pBdr>
        <w:tabs>
          <w:tab w:val="left" w:pos="567"/>
        </w:tabs>
        <w:spacing w:line="360" w:lineRule="auto"/>
        <w:jc w:val="both"/>
        <w:rPr>
          <w:rFonts w:ascii="Arial" w:eastAsia="Arial" w:hAnsi="Arial" w:cs="Arial"/>
          <w:b/>
          <w:bCs/>
          <w:color w:val="000000"/>
          <w:sz w:val="22"/>
          <w:szCs w:val="22"/>
        </w:rPr>
      </w:pPr>
      <w:r>
        <w:rPr>
          <w:rFonts w:ascii="Arial" w:eastAsia="Arial" w:hAnsi="Arial" w:cs="Arial"/>
          <w:b/>
          <w:bCs/>
          <w:color w:val="000000"/>
          <w:sz w:val="22"/>
          <w:szCs w:val="22"/>
        </w:rPr>
        <w:t>Liquidação</w:t>
      </w:r>
    </w:p>
    <w:p w14:paraId="015BC380"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1</w:t>
      </w:r>
      <w:r>
        <w:rPr>
          <w:rFonts w:ascii="Arial" w:eastAsia="Arial" w:hAnsi="Arial" w:cs="Arial"/>
          <w:color w:val="000000"/>
          <w:sz w:val="22"/>
          <w:szCs w:val="22"/>
        </w:rPr>
        <w:t xml:space="preserve">. Recebida a Nota Fiscal ou documento de cobrança equivalente, correrá o prazo de dez dias úteis para fins de liquidação, na forma desta seção, prorrogáveis por igual período, nos termos do </w:t>
      </w:r>
      <w:hyperlink r:id="rId24">
        <w:r>
          <w:rPr>
            <w:rFonts w:ascii="Arial" w:eastAsia="Arial" w:hAnsi="Arial" w:cs="Arial"/>
            <w:color w:val="000080"/>
            <w:sz w:val="22"/>
            <w:szCs w:val="22"/>
            <w:u w:val="single"/>
          </w:rPr>
          <w:t>art. 7º, §2º da Instrução Normativa SEGES/ME nº 77/2022</w:t>
        </w:r>
      </w:hyperlink>
      <w:r>
        <w:rPr>
          <w:rFonts w:ascii="Arial" w:eastAsia="Arial" w:hAnsi="Arial" w:cs="Arial"/>
          <w:color w:val="000000"/>
          <w:sz w:val="22"/>
          <w:szCs w:val="22"/>
        </w:rPr>
        <w:t>.</w:t>
      </w:r>
    </w:p>
    <w:p w14:paraId="3867BCF3"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2</w:t>
      </w:r>
      <w:r>
        <w:rPr>
          <w:rFonts w:ascii="Arial" w:eastAsia="Arial" w:hAnsi="Arial" w:cs="Arial"/>
          <w:color w:val="000000"/>
          <w:sz w:val="22"/>
          <w:szCs w:val="22"/>
        </w:rPr>
        <w:t xml:space="preserve">. O prazo de que trata o item anterior será reduzido à metade, mantendo-se a possibilidade de prorrogação, nos casos de contratações decorrentes de despesas cujos valores não ultrapassem o limite de que trata o </w:t>
      </w:r>
      <w:hyperlink r:id="rId25" w:anchor="art75">
        <w:r>
          <w:rPr>
            <w:rFonts w:ascii="Arial" w:eastAsia="Arial" w:hAnsi="Arial" w:cs="Arial"/>
            <w:color w:val="000080"/>
            <w:sz w:val="22"/>
            <w:szCs w:val="22"/>
            <w:u w:val="single"/>
          </w:rPr>
          <w:t>inciso II do art. 75 da Lei nº 14.133, de 2021</w:t>
        </w:r>
      </w:hyperlink>
    </w:p>
    <w:p w14:paraId="7EC879A3"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3</w:t>
      </w:r>
      <w:r>
        <w:rPr>
          <w:rFonts w:ascii="Arial" w:eastAsia="Arial" w:hAnsi="Arial" w:cs="Arial"/>
          <w:color w:val="000000"/>
          <w:sz w:val="22"/>
          <w:szCs w:val="22"/>
        </w:rPr>
        <w:t>. Para fins de liquidação, o setor competente deve verificar se a Nota Fiscal ou Fatura apresentada expressa os elementos necessários e essenciais do documento, tais como:</w:t>
      </w:r>
    </w:p>
    <w:p w14:paraId="6BEF52D4" w14:textId="77777777" w:rsidR="00A622C3" w:rsidRDefault="00263D7B">
      <w:pPr>
        <w:pStyle w:val="Normal4"/>
        <w:widowControl/>
        <w:numPr>
          <w:ilvl w:val="0"/>
          <w:numId w:val="3"/>
        </w:numPr>
        <w:pBdr>
          <w:top w:val="nil"/>
          <w:left w:val="nil"/>
          <w:bottom w:val="nil"/>
          <w:right w:val="nil"/>
          <w:between w:val="nil"/>
        </w:pBdr>
        <w:spacing w:line="360" w:lineRule="auto"/>
        <w:ind w:left="0" w:firstLine="0"/>
        <w:jc w:val="both"/>
        <w:rPr>
          <w:rFonts w:ascii="Arial" w:eastAsia="Arial" w:hAnsi="Arial" w:cs="Arial"/>
          <w:sz w:val="22"/>
          <w:szCs w:val="22"/>
        </w:rPr>
      </w:pPr>
      <w:r>
        <w:rPr>
          <w:rFonts w:ascii="Arial" w:eastAsia="Arial" w:hAnsi="Arial" w:cs="Arial"/>
          <w:color w:val="000000"/>
          <w:sz w:val="22"/>
          <w:szCs w:val="22"/>
        </w:rPr>
        <w:t xml:space="preserve"> a data da emissão;</w:t>
      </w:r>
    </w:p>
    <w:p w14:paraId="57498F84" w14:textId="77777777" w:rsidR="00A622C3" w:rsidRDefault="00263D7B">
      <w:pPr>
        <w:pStyle w:val="Normal4"/>
        <w:widowControl/>
        <w:numPr>
          <w:ilvl w:val="0"/>
          <w:numId w:val="3"/>
        </w:numPr>
        <w:pBdr>
          <w:top w:val="nil"/>
          <w:left w:val="nil"/>
          <w:bottom w:val="nil"/>
          <w:right w:val="nil"/>
          <w:between w:val="nil"/>
        </w:pBdr>
        <w:spacing w:line="360" w:lineRule="auto"/>
        <w:ind w:left="0" w:firstLine="0"/>
        <w:jc w:val="both"/>
        <w:rPr>
          <w:rFonts w:ascii="Arial" w:eastAsia="Arial" w:hAnsi="Arial" w:cs="Arial"/>
          <w:sz w:val="22"/>
          <w:szCs w:val="22"/>
        </w:rPr>
      </w:pPr>
      <w:r>
        <w:rPr>
          <w:rFonts w:ascii="Arial" w:eastAsia="Arial" w:hAnsi="Arial" w:cs="Arial"/>
          <w:color w:val="000000"/>
          <w:sz w:val="22"/>
          <w:szCs w:val="22"/>
        </w:rPr>
        <w:t xml:space="preserve"> os dados do contrato e do órgão contratante;</w:t>
      </w:r>
    </w:p>
    <w:p w14:paraId="3C13A893" w14:textId="77777777" w:rsidR="00A622C3" w:rsidRDefault="00263D7B">
      <w:pPr>
        <w:pStyle w:val="Normal4"/>
        <w:widowControl/>
        <w:numPr>
          <w:ilvl w:val="0"/>
          <w:numId w:val="3"/>
        </w:numPr>
        <w:pBdr>
          <w:top w:val="nil"/>
          <w:left w:val="nil"/>
          <w:bottom w:val="nil"/>
          <w:right w:val="nil"/>
          <w:between w:val="nil"/>
        </w:pBdr>
        <w:spacing w:line="360" w:lineRule="auto"/>
        <w:ind w:left="0" w:firstLine="0"/>
        <w:jc w:val="both"/>
        <w:rPr>
          <w:rFonts w:ascii="Arial" w:eastAsia="Arial" w:hAnsi="Arial" w:cs="Arial"/>
          <w:sz w:val="22"/>
          <w:szCs w:val="22"/>
        </w:rPr>
      </w:pPr>
      <w:r>
        <w:rPr>
          <w:rFonts w:ascii="Arial" w:eastAsia="Arial" w:hAnsi="Arial" w:cs="Arial"/>
          <w:color w:val="000000"/>
          <w:sz w:val="22"/>
          <w:szCs w:val="22"/>
        </w:rPr>
        <w:t xml:space="preserve"> o período respectivo de execução do contrato; e</w:t>
      </w:r>
    </w:p>
    <w:p w14:paraId="5936DF46" w14:textId="77777777" w:rsidR="00A622C3" w:rsidRDefault="00263D7B">
      <w:pPr>
        <w:pStyle w:val="Normal4"/>
        <w:widowControl/>
        <w:numPr>
          <w:ilvl w:val="0"/>
          <w:numId w:val="3"/>
        </w:numPr>
        <w:pBdr>
          <w:top w:val="nil"/>
          <w:left w:val="nil"/>
          <w:bottom w:val="nil"/>
          <w:right w:val="nil"/>
          <w:between w:val="nil"/>
        </w:pBdr>
        <w:spacing w:line="360" w:lineRule="auto"/>
        <w:ind w:left="0" w:firstLine="0"/>
        <w:jc w:val="both"/>
        <w:rPr>
          <w:rFonts w:ascii="Arial" w:eastAsia="Arial" w:hAnsi="Arial" w:cs="Arial"/>
          <w:sz w:val="22"/>
          <w:szCs w:val="22"/>
        </w:rPr>
      </w:pPr>
      <w:r>
        <w:rPr>
          <w:rFonts w:ascii="Arial" w:eastAsia="Arial" w:hAnsi="Arial" w:cs="Arial"/>
          <w:color w:val="000000"/>
          <w:sz w:val="22"/>
          <w:szCs w:val="22"/>
        </w:rPr>
        <w:t xml:space="preserve"> o valor a pagar</w:t>
      </w:r>
      <w:r>
        <w:rPr>
          <w:rFonts w:ascii="Arial" w:eastAsia="Arial" w:hAnsi="Arial" w:cs="Arial"/>
          <w:sz w:val="22"/>
          <w:szCs w:val="22"/>
        </w:rPr>
        <w:t xml:space="preserve">. </w:t>
      </w:r>
    </w:p>
    <w:p w14:paraId="29207266"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4</w:t>
      </w:r>
      <w:r>
        <w:rPr>
          <w:rFonts w:ascii="Arial" w:eastAsia="Arial" w:hAnsi="Arial" w:cs="Arial"/>
          <w:color w:val="000000"/>
          <w:sz w:val="22"/>
          <w:szCs w:val="22"/>
        </w:rPr>
        <w:t>. 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5CD1711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lastRenderedPageBreak/>
        <w:t>8.2</w:t>
      </w:r>
      <w:r>
        <w:rPr>
          <w:rFonts w:ascii="Arial" w:eastAsia="Arial" w:hAnsi="Arial" w:cs="Arial"/>
          <w:sz w:val="22"/>
          <w:szCs w:val="22"/>
        </w:rPr>
        <w:t>5</w:t>
      </w:r>
      <w:r>
        <w:rPr>
          <w:rFonts w:ascii="Arial" w:eastAsia="Arial" w:hAnsi="Arial" w:cs="Arial"/>
          <w:color w:val="000000"/>
          <w:sz w:val="22"/>
          <w:szCs w:val="22"/>
        </w:rPr>
        <w:t xml:space="preserve">. A Nota Fiscal ou Fatura deverá ser obrigatoriamente acompanhada da comprovação da regularidade fiscal, constatada por meio de consulta </w:t>
      </w:r>
      <w:r>
        <w:rPr>
          <w:rFonts w:ascii="Arial" w:eastAsia="Arial" w:hAnsi="Arial" w:cs="Arial"/>
          <w:i/>
          <w:iCs/>
          <w:color w:val="000000"/>
          <w:sz w:val="22"/>
          <w:szCs w:val="22"/>
        </w:rPr>
        <w:t>on-line</w:t>
      </w:r>
      <w:r>
        <w:rPr>
          <w:rFonts w:ascii="Arial" w:eastAsia="Arial" w:hAnsi="Arial" w:cs="Arial"/>
          <w:color w:val="000000"/>
          <w:sz w:val="22"/>
          <w:szCs w:val="22"/>
        </w:rPr>
        <w:t xml:space="preserve"> ao SICAF ou, na impossibilidade de acesso ao referido Sistema, mediante consulta aos sítios eletrônicos oficiais ou à documentação mencionada no </w:t>
      </w:r>
      <w:hyperlink r:id="rId26" w:anchor="art68">
        <w:r>
          <w:rPr>
            <w:rFonts w:ascii="Arial" w:eastAsia="Arial" w:hAnsi="Arial" w:cs="Arial"/>
            <w:color w:val="000080"/>
            <w:sz w:val="22"/>
            <w:szCs w:val="22"/>
            <w:u w:val="single"/>
          </w:rPr>
          <w:t>art. 68 da Lei nº 14.133/2021</w:t>
        </w:r>
      </w:hyperlink>
      <w:r>
        <w:rPr>
          <w:rFonts w:ascii="Arial" w:eastAsia="Arial" w:hAnsi="Arial" w:cs="Arial"/>
          <w:color w:val="000000"/>
          <w:sz w:val="22"/>
          <w:szCs w:val="22"/>
        </w:rPr>
        <w:t>.</w:t>
      </w:r>
    </w:p>
    <w:p w14:paraId="69EC8ED7"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6</w:t>
      </w:r>
      <w:r>
        <w:rPr>
          <w:rFonts w:ascii="Arial" w:eastAsia="Arial" w:hAnsi="Arial" w:cs="Arial"/>
          <w:color w:val="000000"/>
          <w:sz w:val="22"/>
          <w:szCs w:val="22"/>
        </w:rPr>
        <w:t>. 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w:t>
      </w:r>
    </w:p>
    <w:p w14:paraId="3330C83D"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8.2</w:t>
      </w:r>
      <w:r>
        <w:rPr>
          <w:rFonts w:ascii="Arial" w:eastAsia="Arial" w:hAnsi="Arial" w:cs="Arial"/>
          <w:sz w:val="22"/>
          <w:szCs w:val="22"/>
        </w:rPr>
        <w:t>7</w:t>
      </w:r>
      <w:r>
        <w:rPr>
          <w:rFonts w:ascii="Arial" w:eastAsia="Arial" w:hAnsi="Arial" w:cs="Arial"/>
          <w:color w:val="000000"/>
          <w:sz w:val="22"/>
          <w:szCs w:val="22"/>
        </w:rPr>
        <w:t>.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717EA8D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28</w:t>
      </w:r>
      <w:r>
        <w:rPr>
          <w:rFonts w:ascii="Arial" w:eastAsia="Arial" w:hAnsi="Arial" w:cs="Arial"/>
          <w:color w:val="000000"/>
          <w:sz w:val="22"/>
          <w:szCs w:val="22"/>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23205AC2"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29</w:t>
      </w:r>
      <w:r>
        <w:rPr>
          <w:rFonts w:ascii="Arial" w:eastAsia="Arial" w:hAnsi="Arial" w:cs="Arial"/>
          <w:color w:val="000000"/>
          <w:sz w:val="22"/>
          <w:szCs w:val="22"/>
        </w:rPr>
        <w:t>. Persistindo a irregularidade, o contratante deverá adotar as medidas necessárias à rescisão contratual nos autos do processo administrativo correspondente, assegurada ao contratado a ampla defesa.</w:t>
      </w:r>
    </w:p>
    <w:p w14:paraId="2B469AB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0</w:t>
      </w:r>
      <w:r>
        <w:rPr>
          <w:rFonts w:ascii="Arial" w:eastAsia="Arial" w:hAnsi="Arial" w:cs="Arial"/>
          <w:color w:val="000000"/>
          <w:sz w:val="22"/>
          <w:szCs w:val="22"/>
        </w:rPr>
        <w:t xml:space="preserve">. Havendo a efetiva execução do objeto, os pagamentos serão realizados normalmente, até que se decida pela rescisão do contrato, caso o contratado não regularize sua situação junto ao SICAF. </w:t>
      </w:r>
    </w:p>
    <w:p w14:paraId="4EAA614E" w14:textId="77777777" w:rsidR="00A622C3" w:rsidRDefault="00263D7B">
      <w:pPr>
        <w:pStyle w:val="Normal4"/>
        <w:keepNext/>
        <w:keepLines/>
        <w:widowControl/>
        <w:pBdr>
          <w:top w:val="nil"/>
          <w:left w:val="nil"/>
          <w:bottom w:val="nil"/>
          <w:right w:val="nil"/>
          <w:between w:val="nil"/>
        </w:pBdr>
        <w:tabs>
          <w:tab w:val="left" w:pos="567"/>
        </w:tabs>
        <w:spacing w:line="360" w:lineRule="auto"/>
        <w:jc w:val="both"/>
        <w:rPr>
          <w:rFonts w:ascii="Arial" w:eastAsia="Arial" w:hAnsi="Arial" w:cs="Arial"/>
          <w:b/>
          <w:bCs/>
          <w:color w:val="000000"/>
          <w:sz w:val="22"/>
          <w:szCs w:val="22"/>
        </w:rPr>
      </w:pPr>
      <w:r>
        <w:rPr>
          <w:rFonts w:ascii="Arial" w:eastAsia="Arial" w:hAnsi="Arial" w:cs="Arial"/>
          <w:b/>
          <w:bCs/>
          <w:color w:val="000000"/>
          <w:sz w:val="22"/>
          <w:szCs w:val="22"/>
        </w:rPr>
        <w:t>Prazo de pagamento</w:t>
      </w:r>
    </w:p>
    <w:p w14:paraId="7963CCB7"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1</w:t>
      </w:r>
      <w:r>
        <w:rPr>
          <w:rFonts w:ascii="Arial" w:eastAsia="Arial" w:hAnsi="Arial" w:cs="Arial"/>
          <w:color w:val="000000"/>
          <w:sz w:val="22"/>
          <w:szCs w:val="22"/>
        </w:rPr>
        <w:t>. O pagamento será efetuado</w:t>
      </w:r>
      <w:r>
        <w:rPr>
          <w:rFonts w:ascii="Arial" w:eastAsia="Arial" w:hAnsi="Arial" w:cs="Arial"/>
          <w:sz w:val="22"/>
          <w:szCs w:val="22"/>
        </w:rPr>
        <w:t xml:space="preserve"> em parcela única,</w:t>
      </w:r>
      <w:r>
        <w:rPr>
          <w:rFonts w:ascii="Arial" w:eastAsia="Arial" w:hAnsi="Arial" w:cs="Arial"/>
          <w:color w:val="000000"/>
          <w:sz w:val="22"/>
          <w:szCs w:val="22"/>
        </w:rPr>
        <w:t xml:space="preserve"> no prazo máximo de até dez dias úteis, contados da finalização da liquidação da despesa, conforme seção anterior, nos termos da </w:t>
      </w:r>
      <w:hyperlink r:id="rId27">
        <w:r>
          <w:rPr>
            <w:rFonts w:ascii="Arial" w:eastAsia="Arial" w:hAnsi="Arial" w:cs="Arial"/>
            <w:color w:val="000080"/>
            <w:sz w:val="22"/>
            <w:szCs w:val="22"/>
            <w:u w:val="single"/>
          </w:rPr>
          <w:t>Instrução Normativa SEGES/ME nº 77, de 2022.</w:t>
        </w:r>
      </w:hyperlink>
    </w:p>
    <w:p w14:paraId="04B19174"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 xml:space="preserve">8.32.  </w:t>
      </w:r>
      <w:r>
        <w:rPr>
          <w:rFonts w:ascii="Arial" w:eastAsia="Arial" w:hAnsi="Arial" w:cs="Arial"/>
          <w:sz w:val="14"/>
          <w:szCs w:val="14"/>
        </w:rPr>
        <w:t xml:space="preserve"> </w:t>
      </w:r>
      <w:r>
        <w:rPr>
          <w:rFonts w:ascii="Arial" w:eastAsia="Arial" w:hAnsi="Arial" w:cs="Arial"/>
          <w:sz w:val="22"/>
          <w:szCs w:val="22"/>
        </w:rPr>
        <w:t xml:space="preserve">No caso de atraso pelo Contratante, os valores devidos ao Contratado serão atualizados monetariamente entre o termo final do prazo de pagamento até a data de sua efetiva realização, mediante aplicação do índice IPCA de correção monetária. </w:t>
      </w:r>
    </w:p>
    <w:p w14:paraId="2B25C41E" w14:textId="77777777" w:rsidR="00A622C3" w:rsidRDefault="00263D7B">
      <w:pPr>
        <w:pStyle w:val="Normal4"/>
        <w:keepNext/>
        <w:keepLines/>
        <w:widowControl/>
        <w:pBdr>
          <w:top w:val="nil"/>
          <w:left w:val="nil"/>
          <w:bottom w:val="nil"/>
          <w:right w:val="nil"/>
          <w:between w:val="nil"/>
        </w:pBdr>
        <w:tabs>
          <w:tab w:val="left" w:pos="567"/>
        </w:tabs>
        <w:spacing w:line="360" w:lineRule="auto"/>
        <w:jc w:val="both"/>
        <w:rPr>
          <w:rFonts w:ascii="Arial" w:eastAsia="Arial" w:hAnsi="Arial" w:cs="Arial"/>
          <w:b/>
          <w:bCs/>
          <w:color w:val="000000"/>
          <w:sz w:val="22"/>
          <w:szCs w:val="22"/>
        </w:rPr>
      </w:pPr>
      <w:r>
        <w:rPr>
          <w:rFonts w:ascii="Arial" w:eastAsia="Arial" w:hAnsi="Arial" w:cs="Arial"/>
          <w:b/>
          <w:bCs/>
          <w:color w:val="000000"/>
          <w:sz w:val="22"/>
          <w:szCs w:val="22"/>
        </w:rPr>
        <w:t>Forma de pagamento</w:t>
      </w:r>
    </w:p>
    <w:p w14:paraId="62E1767B"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3</w:t>
      </w:r>
      <w:r>
        <w:rPr>
          <w:rFonts w:ascii="Arial" w:eastAsia="Arial" w:hAnsi="Arial" w:cs="Arial"/>
          <w:color w:val="000000"/>
          <w:sz w:val="22"/>
          <w:szCs w:val="22"/>
        </w:rPr>
        <w:t>. O pagamento será realizado, através de ordem bancária, para crédito em banco, agência e conta corrente indicados pelo contratado.</w:t>
      </w:r>
    </w:p>
    <w:p w14:paraId="7E8B46BD"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4</w:t>
      </w:r>
      <w:r>
        <w:rPr>
          <w:rFonts w:ascii="Arial" w:eastAsia="Arial" w:hAnsi="Arial" w:cs="Arial"/>
          <w:color w:val="000000"/>
          <w:sz w:val="22"/>
          <w:szCs w:val="22"/>
        </w:rPr>
        <w:t>. Será considerada data do pagamento o dia em que constar como emitida a ordem bancária para pagamento</w:t>
      </w:r>
      <w:r>
        <w:rPr>
          <w:rFonts w:ascii="Arial" w:eastAsia="Arial" w:hAnsi="Arial" w:cs="Arial"/>
          <w:i/>
          <w:iCs/>
          <w:color w:val="000000"/>
          <w:sz w:val="22"/>
          <w:szCs w:val="22"/>
        </w:rPr>
        <w:t>.</w:t>
      </w:r>
    </w:p>
    <w:p w14:paraId="4025BCBE"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5</w:t>
      </w:r>
      <w:r>
        <w:rPr>
          <w:rFonts w:ascii="Arial" w:eastAsia="Arial" w:hAnsi="Arial" w:cs="Arial"/>
          <w:color w:val="000000"/>
          <w:sz w:val="22"/>
          <w:szCs w:val="22"/>
        </w:rPr>
        <w:t>. Quando do pagamento, será efetuada a retenção tributária prevista na legislação aplicável.</w:t>
      </w:r>
    </w:p>
    <w:p w14:paraId="02C69713"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sz w:val="22"/>
          <w:szCs w:val="22"/>
        </w:rPr>
      </w:pPr>
      <w:r>
        <w:rPr>
          <w:rFonts w:ascii="Arial" w:eastAsia="Arial" w:hAnsi="Arial" w:cs="Arial"/>
          <w:color w:val="000000"/>
          <w:sz w:val="22"/>
          <w:szCs w:val="22"/>
        </w:rPr>
        <w:lastRenderedPageBreak/>
        <w:t>8.3</w:t>
      </w:r>
      <w:r>
        <w:rPr>
          <w:rFonts w:ascii="Arial" w:eastAsia="Arial" w:hAnsi="Arial" w:cs="Arial"/>
          <w:sz w:val="22"/>
          <w:szCs w:val="22"/>
        </w:rPr>
        <w:t>6</w:t>
      </w:r>
      <w:r>
        <w:rPr>
          <w:rFonts w:ascii="Arial" w:eastAsia="Arial" w:hAnsi="Arial" w:cs="Arial"/>
          <w:color w:val="000000"/>
          <w:sz w:val="22"/>
          <w:szCs w:val="22"/>
        </w:rPr>
        <w:t>. Independentemente do percentual de tributo inserido na planilha, quando houver, serão retidos na fonte, quando da realização do pagamento, os percentuais estabelecidos na legislação vigente.</w:t>
      </w:r>
    </w:p>
    <w:p w14:paraId="179E6369"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7</w:t>
      </w:r>
      <w:r>
        <w:rPr>
          <w:rFonts w:ascii="Arial" w:eastAsia="Arial" w:hAnsi="Arial" w:cs="Arial"/>
          <w:color w:val="000000"/>
          <w:sz w:val="22"/>
          <w:szCs w:val="22"/>
        </w:rPr>
        <w:t xml:space="preserve">. O contratado regularmente optante pelo Simples Nacional, nos termos da </w:t>
      </w:r>
      <w:hyperlink r:id="rId28">
        <w:r>
          <w:rPr>
            <w:rFonts w:ascii="Arial" w:eastAsia="Arial" w:hAnsi="Arial" w:cs="Arial"/>
            <w:color w:val="000080"/>
            <w:sz w:val="22"/>
            <w:szCs w:val="22"/>
            <w:u w:val="single"/>
          </w:rPr>
          <w:t>Lei Complementar nº 123, de 2006</w:t>
        </w:r>
      </w:hyperlink>
      <w:r>
        <w:rPr>
          <w:rFonts w:ascii="Arial" w:eastAsia="Arial" w:hAnsi="Arial" w:cs="Arial"/>
          <w:color w:val="000000"/>
          <w:sz w:val="22"/>
          <w:szCs w:val="22"/>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2586CC5"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8.3</w:t>
      </w:r>
      <w:r>
        <w:rPr>
          <w:rFonts w:ascii="Arial" w:eastAsia="Arial" w:hAnsi="Arial" w:cs="Arial"/>
          <w:sz w:val="22"/>
          <w:szCs w:val="22"/>
        </w:rPr>
        <w:t>8</w:t>
      </w:r>
      <w:r>
        <w:rPr>
          <w:rFonts w:ascii="Arial" w:eastAsia="Arial" w:hAnsi="Arial" w:cs="Arial"/>
          <w:color w:val="000000"/>
          <w:sz w:val="22"/>
          <w:szCs w:val="22"/>
        </w:rPr>
        <w:t>. No caso de a CONTRATADA não possuir estabelecimento ou unidade econômica em Fortaleza/CE, deverá apresentar ao CONTRATANTE, a cada prestação de serviço, juntamente com as notas fiscais de serviços, declaração anexa a este Termo, sob pena de incidir retenção e recolhimento do Imposto Sobre Serviço para o Município de Fortaleza/CE quando se aplicar a regra geral de incidência (local do estabelecimento prestador)</w:t>
      </w:r>
    </w:p>
    <w:p w14:paraId="05517FD6" w14:textId="77777777" w:rsidR="00A622C3" w:rsidRDefault="00263D7B">
      <w:pPr>
        <w:pStyle w:val="Normal4"/>
        <w:widowControl/>
        <w:pBdr>
          <w:top w:val="nil"/>
          <w:left w:val="nil"/>
          <w:bottom w:val="nil"/>
          <w:right w:val="nil"/>
          <w:between w:val="nil"/>
        </w:pBdr>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sz w:val="22"/>
          <w:szCs w:val="22"/>
        </w:rPr>
        <w:t>39</w:t>
      </w:r>
      <w:r>
        <w:rPr>
          <w:rFonts w:ascii="Arial" w:eastAsia="Arial" w:hAnsi="Arial" w:cs="Arial"/>
          <w:color w:val="000000"/>
          <w:sz w:val="22"/>
          <w:szCs w:val="22"/>
        </w:rPr>
        <w:t xml:space="preserve">. A apresentação da declaração de que trata o item </w:t>
      </w:r>
      <w:r>
        <w:rPr>
          <w:rFonts w:ascii="Arial" w:eastAsia="Arial" w:hAnsi="Arial" w:cs="Arial"/>
          <w:sz w:val="22"/>
          <w:szCs w:val="22"/>
        </w:rPr>
        <w:t>anterior</w:t>
      </w:r>
      <w:r>
        <w:rPr>
          <w:rFonts w:ascii="Arial" w:eastAsia="Arial" w:hAnsi="Arial" w:cs="Arial"/>
          <w:color w:val="000000"/>
          <w:sz w:val="22"/>
          <w:szCs w:val="22"/>
        </w:rPr>
        <w:t xml:space="preserve"> pela CONTRATADA poderá ser dispensada pelo CONTRATANTE após análise do primeiro pagamento pela Divisão de Orçamento e Finanças.</w:t>
      </w:r>
    </w:p>
    <w:p w14:paraId="22A1E60C" w14:textId="77777777" w:rsidR="00A622C3" w:rsidRDefault="00263D7B">
      <w:pPr>
        <w:pStyle w:val="Normal4"/>
        <w:widowControl/>
        <w:pBdr>
          <w:top w:val="nil"/>
          <w:left w:val="nil"/>
          <w:bottom w:val="nil"/>
          <w:right w:val="nil"/>
          <w:between w:val="nil"/>
        </w:pBdr>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8.4</w:t>
      </w:r>
      <w:r>
        <w:rPr>
          <w:rFonts w:ascii="Arial" w:eastAsia="Arial" w:hAnsi="Arial" w:cs="Arial"/>
          <w:sz w:val="22"/>
          <w:szCs w:val="22"/>
        </w:rPr>
        <w:t>0</w:t>
      </w:r>
      <w:r>
        <w:rPr>
          <w:rFonts w:ascii="Arial" w:eastAsia="Arial" w:hAnsi="Arial" w:cs="Arial"/>
          <w:color w:val="000000"/>
          <w:sz w:val="22"/>
          <w:szCs w:val="22"/>
        </w:rPr>
        <w:t xml:space="preserve">. A CONTRATADA obriga-se a realizar e manter atualizado o autocadastro no Sistema Integrado de Gestão Orçamentária e Financeira  da Justiça do Trabalho (SIGEO-JT), nos termos previstos no ATO TRT7.GP nº 56, de 23 de março de 2022, disponível em </w:t>
      </w:r>
      <w:hyperlink r:id="rId29">
        <w:r>
          <w:rPr>
            <w:rFonts w:ascii="Arial" w:eastAsia="Arial" w:hAnsi="Arial" w:cs="Arial"/>
            <w:color w:val="000080"/>
            <w:sz w:val="22"/>
            <w:szCs w:val="22"/>
            <w:u w:val="single"/>
          </w:rPr>
          <w:t>https://www.trt7.jus.br/index.php?option=com_content&amp;view=article&amp;id=4885&amp;Itemid=1258</w:t>
        </w:r>
      </w:hyperlink>
      <w:r>
        <w:rPr>
          <w:rFonts w:ascii="Arial" w:eastAsia="Arial" w:hAnsi="Arial" w:cs="Arial"/>
          <w:color w:val="000000"/>
          <w:sz w:val="22"/>
          <w:szCs w:val="22"/>
        </w:rPr>
        <w:t> </w:t>
      </w:r>
    </w:p>
    <w:p w14:paraId="380321C4" w14:textId="77777777" w:rsidR="00A622C3" w:rsidRDefault="00263D7B">
      <w:pPr>
        <w:pStyle w:val="Normal4"/>
        <w:widowControl/>
        <w:pBdr>
          <w:top w:val="nil"/>
          <w:left w:val="nil"/>
          <w:bottom w:val="nil"/>
          <w:right w:val="nil"/>
          <w:between w:val="nil"/>
        </w:pBdr>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8.</w:t>
      </w:r>
      <w:proofErr w:type="gramStart"/>
      <w:r>
        <w:rPr>
          <w:rFonts w:ascii="Arial" w:eastAsia="Arial" w:hAnsi="Arial" w:cs="Arial"/>
          <w:color w:val="000000"/>
          <w:sz w:val="22"/>
          <w:szCs w:val="22"/>
        </w:rPr>
        <w:t>4</w:t>
      </w:r>
      <w:r>
        <w:rPr>
          <w:rFonts w:ascii="Arial" w:eastAsia="Arial" w:hAnsi="Arial" w:cs="Arial"/>
          <w:sz w:val="22"/>
          <w:szCs w:val="22"/>
        </w:rPr>
        <w:t>1</w:t>
      </w:r>
      <w:r>
        <w:rPr>
          <w:rFonts w:ascii="Arial" w:eastAsia="Arial" w:hAnsi="Arial" w:cs="Arial"/>
          <w:color w:val="000000"/>
          <w:sz w:val="22"/>
          <w:szCs w:val="22"/>
        </w:rPr>
        <w:t>.Os</w:t>
      </w:r>
      <w:proofErr w:type="gramEnd"/>
      <w:r>
        <w:rPr>
          <w:rFonts w:ascii="Arial" w:eastAsia="Arial" w:hAnsi="Arial" w:cs="Arial"/>
          <w:color w:val="000000"/>
          <w:sz w:val="22"/>
          <w:szCs w:val="22"/>
        </w:rPr>
        <w:t xml:space="preserve"> documentos fiscais deverão ser enviados por meio do SIGEO-JT. </w:t>
      </w:r>
    </w:p>
    <w:p w14:paraId="6B333A03" w14:textId="77777777" w:rsidR="00A622C3" w:rsidRDefault="00263D7B">
      <w:pPr>
        <w:pStyle w:val="Normal4"/>
        <w:widowControl/>
        <w:pBdr>
          <w:top w:val="nil"/>
          <w:left w:val="nil"/>
          <w:bottom w:val="nil"/>
          <w:right w:val="nil"/>
          <w:between w:val="nil"/>
        </w:pBdr>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8.4</w:t>
      </w:r>
      <w:r>
        <w:rPr>
          <w:rFonts w:ascii="Arial" w:eastAsia="Arial" w:hAnsi="Arial" w:cs="Arial"/>
          <w:sz w:val="22"/>
          <w:szCs w:val="22"/>
        </w:rPr>
        <w:t>2</w:t>
      </w:r>
      <w:r>
        <w:rPr>
          <w:rFonts w:ascii="Arial" w:eastAsia="Arial" w:hAnsi="Arial" w:cs="Arial"/>
          <w:color w:val="000000"/>
          <w:sz w:val="22"/>
          <w:szCs w:val="22"/>
        </w:rPr>
        <w:t xml:space="preserve">. A CONTRATADA assumirá inteira responsabilidade pela veracidade, conformidade e eventuais correções das informações registradas no referido sistema, assumindo o ônus por quaisquer prejuízos decorrentes de erros ou falhas quanto aos dados e documentos informados, inclusive perante à Receita Federal do Brasil (RFB) e demais órgãos da Administração Pública. </w:t>
      </w:r>
    </w:p>
    <w:p w14:paraId="27456ED1" w14:textId="77777777" w:rsidR="00A622C3" w:rsidRDefault="00A622C3">
      <w:pPr>
        <w:pStyle w:val="Normal4"/>
        <w:widowControl/>
        <w:pBdr>
          <w:top w:val="nil"/>
          <w:left w:val="nil"/>
          <w:bottom w:val="nil"/>
          <w:right w:val="nil"/>
          <w:between w:val="nil"/>
        </w:pBdr>
        <w:spacing w:line="360" w:lineRule="auto"/>
        <w:ind w:right="284"/>
        <w:jc w:val="both"/>
        <w:rPr>
          <w:rFonts w:ascii="Arial" w:eastAsia="Arial" w:hAnsi="Arial" w:cs="Arial"/>
          <w:sz w:val="22"/>
          <w:szCs w:val="22"/>
        </w:rPr>
      </w:pPr>
    </w:p>
    <w:p w14:paraId="2DB906CB" w14:textId="77777777" w:rsidR="00A622C3" w:rsidRDefault="00263D7B">
      <w:pPr>
        <w:pStyle w:val="Normal4"/>
        <w:widowControl/>
        <w:pBdr>
          <w:top w:val="nil"/>
          <w:left w:val="nil"/>
          <w:bottom w:val="nil"/>
          <w:right w:val="nil"/>
          <w:between w:val="nil"/>
        </w:pBdr>
        <w:spacing w:line="360" w:lineRule="auto"/>
        <w:ind w:left="425" w:hanging="425"/>
        <w:jc w:val="both"/>
        <w:rPr>
          <w:rFonts w:ascii="Arial" w:eastAsia="Arial" w:hAnsi="Arial" w:cs="Arial"/>
          <w:b/>
          <w:bCs/>
          <w:sz w:val="22"/>
          <w:szCs w:val="22"/>
        </w:rPr>
      </w:pPr>
      <w:r>
        <w:rPr>
          <w:rFonts w:ascii="Arial" w:eastAsia="Arial" w:hAnsi="Arial" w:cs="Arial"/>
          <w:b/>
          <w:bCs/>
          <w:color w:val="000000"/>
          <w:sz w:val="22"/>
          <w:szCs w:val="22"/>
        </w:rPr>
        <w:t>Cessão de crédito</w:t>
      </w:r>
    </w:p>
    <w:p w14:paraId="2E465C6F"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8.4</w:t>
      </w:r>
      <w:r>
        <w:rPr>
          <w:rFonts w:ascii="Arial" w:eastAsia="Arial" w:hAnsi="Arial" w:cs="Arial"/>
          <w:sz w:val="22"/>
          <w:szCs w:val="22"/>
        </w:rPr>
        <w:t>3</w:t>
      </w:r>
      <w:r>
        <w:rPr>
          <w:rFonts w:ascii="Arial" w:eastAsia="Arial" w:hAnsi="Arial" w:cs="Arial"/>
          <w:color w:val="000000"/>
          <w:sz w:val="22"/>
          <w:szCs w:val="22"/>
        </w:rPr>
        <w:t xml:space="preserve">. É admitida a cessão fiduciária de direitos creditícios com instituição financeira, nos termos e de acordo com os procedimentos previstos na </w:t>
      </w:r>
      <w:hyperlink r:id="rId30">
        <w:r>
          <w:rPr>
            <w:rFonts w:ascii="Arial" w:eastAsia="Arial" w:hAnsi="Arial" w:cs="Arial"/>
            <w:color w:val="000080"/>
            <w:sz w:val="22"/>
            <w:szCs w:val="22"/>
            <w:u w:val="single"/>
          </w:rPr>
          <w:t>Instrução Normativa SEGES/ME nº 53, de 8 de julho de 2020</w:t>
        </w:r>
      </w:hyperlink>
      <w:r>
        <w:rPr>
          <w:rFonts w:ascii="Arial" w:eastAsia="Arial" w:hAnsi="Arial" w:cs="Arial"/>
          <w:color w:val="000000"/>
          <w:sz w:val="22"/>
          <w:szCs w:val="22"/>
        </w:rPr>
        <w:t>, conforme as regras deste presente tópico.</w:t>
      </w:r>
    </w:p>
    <w:p w14:paraId="5C54DB20"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8.44.1. As cessões de crédito não fiduciária dependerão de prévia aprovação do contratante.</w:t>
      </w:r>
    </w:p>
    <w:p w14:paraId="3E673B6F"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8.4</w:t>
      </w:r>
      <w:r>
        <w:rPr>
          <w:rFonts w:ascii="Arial" w:eastAsia="Arial" w:hAnsi="Arial" w:cs="Arial"/>
          <w:sz w:val="22"/>
          <w:szCs w:val="22"/>
        </w:rPr>
        <w:t>4</w:t>
      </w:r>
      <w:r>
        <w:rPr>
          <w:rFonts w:ascii="Arial" w:eastAsia="Arial" w:hAnsi="Arial" w:cs="Arial"/>
          <w:color w:val="000000"/>
          <w:sz w:val="22"/>
          <w:szCs w:val="22"/>
        </w:rPr>
        <w:t>. A eficácia da cessão de crédito, de qualquer natureza, em relação à Administração, está condicionada à celebração de termo aditivo ao contrato administrativo.</w:t>
      </w:r>
    </w:p>
    <w:p w14:paraId="195FDEE1"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bookmarkStart w:id="0" w:name="_heading=h.gjdgxs" w:colFirst="0" w:colLast="0"/>
      <w:bookmarkEnd w:id="0"/>
      <w:r>
        <w:rPr>
          <w:rFonts w:ascii="Arial" w:eastAsia="Arial" w:hAnsi="Arial" w:cs="Arial"/>
          <w:color w:val="000000"/>
          <w:sz w:val="22"/>
          <w:szCs w:val="22"/>
        </w:rPr>
        <w:lastRenderedPageBreak/>
        <w:t>8.4</w:t>
      </w:r>
      <w:r>
        <w:rPr>
          <w:rFonts w:ascii="Arial" w:eastAsia="Arial" w:hAnsi="Arial" w:cs="Arial"/>
          <w:sz w:val="22"/>
          <w:szCs w:val="22"/>
        </w:rPr>
        <w:t>5</w:t>
      </w:r>
      <w:r>
        <w:rPr>
          <w:rFonts w:ascii="Arial" w:eastAsia="Arial" w:hAnsi="Arial" w:cs="Arial"/>
          <w:color w:val="000000"/>
          <w:sz w:val="22"/>
          <w:szCs w:val="22"/>
        </w:rPr>
        <w:t xml:space="preserve">. 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w:t>
      </w:r>
      <w:hyperlink r:id="rId31" w:anchor="art12">
        <w:r>
          <w:rPr>
            <w:rFonts w:ascii="Arial" w:eastAsia="Arial" w:hAnsi="Arial" w:cs="Arial"/>
            <w:color w:val="000080"/>
            <w:sz w:val="22"/>
            <w:szCs w:val="22"/>
            <w:u w:val="single"/>
          </w:rPr>
          <w:t>art. 12 da Lei nº 8.429, de 1992</w:t>
        </w:r>
      </w:hyperlink>
      <w:r>
        <w:rPr>
          <w:rFonts w:ascii="Arial" w:eastAsia="Arial" w:hAnsi="Arial" w:cs="Arial"/>
          <w:color w:val="000000"/>
          <w:sz w:val="22"/>
          <w:szCs w:val="22"/>
        </w:rPr>
        <w:t xml:space="preserve">, tudo nos termos do </w:t>
      </w:r>
      <w:hyperlink r:id="rId32">
        <w:r>
          <w:rPr>
            <w:rFonts w:ascii="Arial" w:eastAsia="Arial" w:hAnsi="Arial" w:cs="Arial"/>
            <w:color w:val="000080"/>
            <w:sz w:val="22"/>
            <w:szCs w:val="22"/>
            <w:u w:val="single"/>
          </w:rPr>
          <w:t>Parecer JL-01, de 18 de maio de 2020.</w:t>
        </w:r>
      </w:hyperlink>
    </w:p>
    <w:p w14:paraId="0DF61124"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bookmarkStart w:id="1" w:name="_heading=h.30j0zll" w:colFirst="0" w:colLast="0"/>
      <w:bookmarkEnd w:id="1"/>
      <w:r>
        <w:rPr>
          <w:rFonts w:ascii="Arial" w:eastAsia="Arial" w:hAnsi="Arial" w:cs="Arial"/>
          <w:color w:val="000000"/>
          <w:sz w:val="22"/>
          <w:szCs w:val="22"/>
        </w:rPr>
        <w:t>8.4</w:t>
      </w:r>
      <w:r>
        <w:rPr>
          <w:rFonts w:ascii="Arial" w:eastAsia="Arial" w:hAnsi="Arial" w:cs="Arial"/>
          <w:sz w:val="22"/>
          <w:szCs w:val="22"/>
        </w:rPr>
        <w:t>6</w:t>
      </w:r>
      <w:r>
        <w:rPr>
          <w:rFonts w:ascii="Arial" w:eastAsia="Arial" w:hAnsi="Arial" w:cs="Arial"/>
          <w:color w:val="000000"/>
          <w:sz w:val="22"/>
          <w:szCs w:val="22"/>
        </w:rPr>
        <w:t>. 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14:paraId="33FC5CC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8.4</w:t>
      </w:r>
      <w:r>
        <w:rPr>
          <w:rFonts w:ascii="Arial" w:eastAsia="Arial" w:hAnsi="Arial" w:cs="Arial"/>
          <w:sz w:val="22"/>
          <w:szCs w:val="22"/>
        </w:rPr>
        <w:t>7</w:t>
      </w:r>
      <w:r>
        <w:rPr>
          <w:rFonts w:ascii="Arial" w:eastAsia="Arial" w:hAnsi="Arial" w:cs="Arial"/>
          <w:color w:val="000000"/>
          <w:sz w:val="22"/>
          <w:szCs w:val="22"/>
        </w:rPr>
        <w:t>. A cessão de crédito não afetará a execução do objeto contratado, que continuará sob a integral responsabilidade do contratado.</w:t>
      </w:r>
    </w:p>
    <w:p w14:paraId="7380422A" w14:textId="77777777" w:rsidR="00A622C3" w:rsidRDefault="00A622C3">
      <w:pPr>
        <w:pStyle w:val="Normal4"/>
        <w:widowControl/>
        <w:pBdr>
          <w:top w:val="nil"/>
          <w:left w:val="nil"/>
          <w:bottom w:val="nil"/>
          <w:right w:val="nil"/>
          <w:between w:val="nil"/>
        </w:pBdr>
        <w:spacing w:line="360" w:lineRule="auto"/>
        <w:jc w:val="both"/>
        <w:rPr>
          <w:rFonts w:ascii="Arial" w:eastAsia="Arial" w:hAnsi="Arial" w:cs="Arial"/>
          <w:sz w:val="22"/>
          <w:szCs w:val="22"/>
        </w:rPr>
      </w:pPr>
    </w:p>
    <w:p w14:paraId="1A773979"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b/>
          <w:bCs/>
          <w:color w:val="000000"/>
          <w:sz w:val="22"/>
          <w:szCs w:val="22"/>
        </w:rPr>
        <w:t>9. DA HABILITAÇÃO:</w:t>
      </w:r>
    </w:p>
    <w:p w14:paraId="6AE4A64E"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9.1. Para fins de habilitação ao certame, os interessados terão de satisfazer os requisitos relativos a:</w:t>
      </w:r>
    </w:p>
    <w:p w14:paraId="60CCE5E3"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a) Cumprimento do disposto no inciso XXXIII do art. 7º da Constituição Federal e na Lei nº 9.854/99;</w:t>
      </w:r>
    </w:p>
    <w:p w14:paraId="2F9C1081"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b) Habilitação jurídica;</w:t>
      </w:r>
    </w:p>
    <w:p w14:paraId="1131F2F1" w14:textId="77777777" w:rsidR="00A622C3" w:rsidRDefault="00263D7B">
      <w:pPr>
        <w:pStyle w:val="Normal4"/>
        <w:widowControl/>
        <w:tabs>
          <w:tab w:val="left" w:pos="0"/>
        </w:tabs>
        <w:spacing w:line="360" w:lineRule="auto"/>
        <w:ind w:right="284"/>
        <w:jc w:val="both"/>
        <w:rPr>
          <w:rFonts w:ascii="Arial" w:eastAsia="Arial" w:hAnsi="Arial" w:cs="Arial"/>
          <w:color w:val="FF0000"/>
          <w:sz w:val="22"/>
          <w:szCs w:val="22"/>
        </w:rPr>
      </w:pPr>
      <w:bookmarkStart w:id="2" w:name="_heading=h.1fob9te" w:colFirst="0" w:colLast="0"/>
      <w:bookmarkEnd w:id="2"/>
      <w:r>
        <w:rPr>
          <w:rFonts w:ascii="Arial" w:eastAsia="Arial" w:hAnsi="Arial" w:cs="Arial"/>
          <w:color w:val="000000"/>
          <w:sz w:val="22"/>
          <w:szCs w:val="22"/>
        </w:rPr>
        <w:t>c) Regularidade Fiscal, Social e Trabalhista;</w:t>
      </w:r>
    </w:p>
    <w:p w14:paraId="4441C55E"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 xml:space="preserve">d) Qualificação técnica. </w:t>
      </w:r>
    </w:p>
    <w:p w14:paraId="2A3D7B5F" w14:textId="77777777" w:rsidR="00A622C3" w:rsidRDefault="00263D7B">
      <w:pPr>
        <w:pStyle w:val="Normal4"/>
        <w:widowControl/>
        <w:tabs>
          <w:tab w:val="left" w:pos="0"/>
          <w:tab w:val="left" w:pos="720"/>
        </w:tabs>
        <w:spacing w:line="360" w:lineRule="auto"/>
        <w:ind w:right="284"/>
        <w:jc w:val="both"/>
        <w:rPr>
          <w:rFonts w:ascii="Arial" w:eastAsia="Arial" w:hAnsi="Arial" w:cs="Arial"/>
          <w:b/>
          <w:bCs/>
          <w:color w:val="000000"/>
          <w:sz w:val="22"/>
          <w:szCs w:val="22"/>
          <w:u w:val="single"/>
        </w:rPr>
      </w:pPr>
      <w:r>
        <w:rPr>
          <w:rFonts w:ascii="Arial" w:eastAsia="Arial" w:hAnsi="Arial" w:cs="Arial"/>
          <w:color w:val="000000"/>
          <w:sz w:val="22"/>
          <w:szCs w:val="22"/>
        </w:rPr>
        <w:t xml:space="preserve">9.2. O cumprimento do disposto no item “a” dar-se-á mediante declaração do interessado de que não possui em seu quadro de pessoal empregado(s) com menos de 18 (dezoito) anos em trabalho noturno, perigoso </w:t>
      </w:r>
      <w:proofErr w:type="gramStart"/>
      <w:r>
        <w:rPr>
          <w:rFonts w:ascii="Arial" w:eastAsia="Arial" w:hAnsi="Arial" w:cs="Arial"/>
          <w:color w:val="000000"/>
          <w:sz w:val="22"/>
          <w:szCs w:val="22"/>
        </w:rPr>
        <w:t>ou  insalubre</w:t>
      </w:r>
      <w:proofErr w:type="gramEnd"/>
      <w:r>
        <w:rPr>
          <w:rFonts w:ascii="Arial" w:eastAsia="Arial" w:hAnsi="Arial" w:cs="Arial"/>
          <w:color w:val="000000"/>
          <w:sz w:val="22"/>
          <w:szCs w:val="22"/>
        </w:rPr>
        <w:t xml:space="preserve"> e de 16 (dezesseis) anos em qualquer trabalho, salvo na condição de aprendiz, a partir de 14 (quatorze) anos, para o caso de pessoa Jurídica. </w:t>
      </w:r>
    </w:p>
    <w:p w14:paraId="13B2A549" w14:textId="77777777" w:rsidR="00A622C3" w:rsidRDefault="00263D7B">
      <w:pPr>
        <w:pStyle w:val="Normal4"/>
        <w:widowControl/>
        <w:tabs>
          <w:tab w:val="left" w:pos="0"/>
          <w:tab w:val="left" w:pos="720"/>
        </w:tabs>
        <w:spacing w:line="360" w:lineRule="auto"/>
        <w:ind w:right="284"/>
        <w:jc w:val="both"/>
        <w:rPr>
          <w:rFonts w:ascii="Arial" w:eastAsia="Arial" w:hAnsi="Arial" w:cs="Arial"/>
          <w:b/>
          <w:bCs/>
          <w:sz w:val="22"/>
          <w:szCs w:val="22"/>
          <w:u w:val="single"/>
        </w:rPr>
      </w:pPr>
      <w:r>
        <w:rPr>
          <w:rFonts w:ascii="Arial" w:eastAsia="Arial" w:hAnsi="Arial" w:cs="Arial"/>
          <w:b/>
          <w:bCs/>
          <w:color w:val="000000"/>
          <w:sz w:val="22"/>
          <w:szCs w:val="22"/>
          <w:u w:val="single"/>
        </w:rPr>
        <w:t>OS DOCUMENTOS ABAIXO ESTÃO DISTRIBUÍDOS, CONFORME O PARTICIPANTE DA LICITAÇÃO SEJA PESSOA FÍSICA OU PESSOA JURÍDICA</w:t>
      </w:r>
    </w:p>
    <w:p w14:paraId="477B96B8" w14:textId="77777777" w:rsidR="00A622C3" w:rsidRDefault="00263D7B">
      <w:pPr>
        <w:pStyle w:val="Normal4"/>
        <w:widowControl/>
        <w:tabs>
          <w:tab w:val="left" w:pos="0"/>
          <w:tab w:val="left" w:pos="720"/>
        </w:tabs>
        <w:spacing w:line="360" w:lineRule="auto"/>
        <w:ind w:right="284"/>
        <w:jc w:val="both"/>
        <w:rPr>
          <w:rFonts w:ascii="Arial" w:eastAsia="Arial" w:hAnsi="Arial" w:cs="Arial"/>
          <w:b/>
          <w:bCs/>
          <w:color w:val="000000"/>
          <w:sz w:val="22"/>
          <w:szCs w:val="22"/>
        </w:rPr>
      </w:pPr>
      <w:r>
        <w:rPr>
          <w:rFonts w:ascii="Arial" w:eastAsia="Arial" w:hAnsi="Arial" w:cs="Arial"/>
          <w:b/>
          <w:bCs/>
          <w:color w:val="000000"/>
          <w:sz w:val="22"/>
          <w:szCs w:val="22"/>
        </w:rPr>
        <w:t>PARA PESSOA JURÍDICA</w:t>
      </w:r>
    </w:p>
    <w:p w14:paraId="6B51E955"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9.3</w:t>
      </w:r>
      <w:r>
        <w:rPr>
          <w:rFonts w:ascii="Arial" w:eastAsia="Arial" w:hAnsi="Arial" w:cs="Arial"/>
          <w:b/>
          <w:bCs/>
          <w:color w:val="000000"/>
          <w:sz w:val="22"/>
          <w:szCs w:val="22"/>
        </w:rPr>
        <w:t>. Os documentos relativos à Habilitação Jurídica são:</w:t>
      </w:r>
    </w:p>
    <w:p w14:paraId="40714F93"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color w:val="000000"/>
          <w:sz w:val="22"/>
          <w:szCs w:val="22"/>
        </w:rPr>
        <w:t xml:space="preserve">a)  No caso de </w:t>
      </w:r>
      <w:r>
        <w:rPr>
          <w:rFonts w:ascii="Arial" w:eastAsia="Arial" w:hAnsi="Arial" w:cs="Arial"/>
          <w:b/>
          <w:bCs/>
          <w:color w:val="000000"/>
          <w:sz w:val="22"/>
          <w:szCs w:val="22"/>
        </w:rPr>
        <w:t>empresário individual</w:t>
      </w:r>
      <w:r>
        <w:rPr>
          <w:rFonts w:ascii="Arial" w:eastAsia="Arial" w:hAnsi="Arial" w:cs="Arial"/>
          <w:color w:val="000000"/>
          <w:sz w:val="22"/>
          <w:szCs w:val="22"/>
        </w:rPr>
        <w:t>: inscrição no Registro Público de Empresas Mercantis, a cargo da Junta Comercial da respectiva sede;</w:t>
      </w:r>
    </w:p>
    <w:p w14:paraId="5606913E" w14:textId="77777777" w:rsidR="00A622C3" w:rsidRDefault="00263D7B">
      <w:pPr>
        <w:pStyle w:val="Normal4"/>
        <w:tabs>
          <w:tab w:val="left" w:pos="0"/>
        </w:tabs>
        <w:spacing w:line="360" w:lineRule="auto"/>
        <w:ind w:right="284"/>
        <w:jc w:val="both"/>
        <w:rPr>
          <w:rFonts w:ascii="Arial" w:eastAsia="Arial" w:hAnsi="Arial" w:cs="Arial"/>
          <w:color w:val="000000"/>
          <w:sz w:val="22"/>
          <w:szCs w:val="22"/>
        </w:rPr>
      </w:pPr>
      <w:r>
        <w:rPr>
          <w:rFonts w:ascii="Arial" w:eastAsia="Arial" w:hAnsi="Arial" w:cs="Arial"/>
          <w:sz w:val="22"/>
          <w:szCs w:val="22"/>
        </w:rPr>
        <w:lastRenderedPageBreak/>
        <w:t>b</w:t>
      </w:r>
      <w:r>
        <w:rPr>
          <w:rFonts w:ascii="Arial" w:eastAsia="Arial" w:hAnsi="Arial" w:cs="Arial"/>
          <w:color w:val="000000"/>
          <w:sz w:val="22"/>
          <w:szCs w:val="22"/>
        </w:rPr>
        <w:t xml:space="preserve">) Em caso de </w:t>
      </w:r>
      <w:r>
        <w:rPr>
          <w:rFonts w:ascii="Arial" w:eastAsia="Arial" w:hAnsi="Arial" w:cs="Arial"/>
          <w:b/>
          <w:bCs/>
          <w:color w:val="000000"/>
          <w:sz w:val="22"/>
          <w:szCs w:val="22"/>
        </w:rPr>
        <w:t>Sociedade empresária, sociedade limitada unipessoal – SLU ou sociedade identificada como empresa individual de responsabilidade limitada - EIRELI</w:t>
      </w:r>
      <w:r>
        <w:rPr>
          <w:rFonts w:ascii="Arial" w:eastAsia="Arial" w:hAnsi="Arial" w:cs="Arial"/>
          <w:color w:val="000000"/>
          <w:sz w:val="22"/>
          <w:szCs w:val="22"/>
        </w:rPr>
        <w:t>: inscrição do ato constitutivo, estatuto ou contrato social no Registro Público de Empresas Mercantis, a cargo da Junta Comercial da respectiva sede, acompanhada de documento comprobatório de seus administradores;</w:t>
      </w:r>
    </w:p>
    <w:p w14:paraId="54FEE55E"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sz w:val="22"/>
          <w:szCs w:val="22"/>
        </w:rPr>
        <w:t>c</w:t>
      </w:r>
      <w:r>
        <w:rPr>
          <w:rFonts w:ascii="Arial" w:eastAsia="Arial" w:hAnsi="Arial" w:cs="Arial"/>
          <w:color w:val="000000"/>
          <w:sz w:val="22"/>
          <w:szCs w:val="22"/>
        </w:rPr>
        <w:t xml:space="preserve">) Em caso de </w:t>
      </w:r>
      <w:r>
        <w:rPr>
          <w:rFonts w:ascii="Arial" w:eastAsia="Arial" w:hAnsi="Arial" w:cs="Arial"/>
          <w:b/>
          <w:bCs/>
          <w:color w:val="000000"/>
          <w:sz w:val="22"/>
          <w:szCs w:val="22"/>
        </w:rPr>
        <w:t>Filial, sucursal ou agência</w:t>
      </w:r>
      <w:r>
        <w:rPr>
          <w:rFonts w:ascii="Arial" w:eastAsia="Arial" w:hAnsi="Arial" w:cs="Arial"/>
          <w:color w:val="000000"/>
          <w:sz w:val="22"/>
          <w:szCs w:val="22"/>
        </w:rPr>
        <w:t xml:space="preserve"> </w:t>
      </w:r>
      <w:r>
        <w:rPr>
          <w:rFonts w:ascii="Arial" w:eastAsia="Arial" w:hAnsi="Arial" w:cs="Arial"/>
          <w:b/>
          <w:bCs/>
          <w:color w:val="000000"/>
          <w:sz w:val="22"/>
          <w:szCs w:val="22"/>
        </w:rPr>
        <w:t>de sociedade simples ou empresária</w:t>
      </w:r>
      <w:r>
        <w:rPr>
          <w:rFonts w:ascii="Arial" w:eastAsia="Arial" w:hAnsi="Arial" w:cs="Arial"/>
          <w:color w:val="000000"/>
          <w:sz w:val="22"/>
          <w:szCs w:val="22"/>
        </w:rPr>
        <w:t xml:space="preserve"> - inscrição do ato constitutivo da filial, sucursal ou agência da sociedade simples ou empresária, respectivamente, no Registro Civil das Pessoas Jurídicas ou no Registro Público de Empresas Mercantis onde tem sede a matriz;</w:t>
      </w:r>
    </w:p>
    <w:p w14:paraId="51B22BED"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sz w:val="22"/>
          <w:szCs w:val="22"/>
        </w:rPr>
        <w:t>d</w:t>
      </w:r>
      <w:r>
        <w:rPr>
          <w:rFonts w:ascii="Arial" w:eastAsia="Arial" w:hAnsi="Arial" w:cs="Arial"/>
          <w:color w:val="000000"/>
          <w:sz w:val="22"/>
          <w:szCs w:val="22"/>
        </w:rPr>
        <w:t xml:space="preserve">) Em caso de </w:t>
      </w:r>
      <w:r>
        <w:rPr>
          <w:rFonts w:ascii="Arial" w:eastAsia="Arial" w:hAnsi="Arial" w:cs="Arial"/>
          <w:b/>
          <w:bCs/>
          <w:color w:val="000000"/>
          <w:sz w:val="22"/>
          <w:szCs w:val="22"/>
        </w:rPr>
        <w:t>Sociedade simples</w:t>
      </w:r>
      <w:r>
        <w:rPr>
          <w:rFonts w:ascii="Arial" w:eastAsia="Arial" w:hAnsi="Arial" w:cs="Arial"/>
          <w:color w:val="000000"/>
          <w:sz w:val="22"/>
          <w:szCs w:val="22"/>
        </w:rPr>
        <w:t>: inscrição do ato constitutivo no Registro Civil das Pessoas Jurídicas do local de sua sede, acompanhada de prova da indicação dos seus administradores;</w:t>
      </w:r>
    </w:p>
    <w:p w14:paraId="3B4C08B3"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Sociedade empresária estrangeira com atuação permanente no País</w:t>
      </w:r>
      <w:r>
        <w:rPr>
          <w:rFonts w:ascii="Arial" w:eastAsia="Arial" w:hAnsi="Arial" w:cs="Arial"/>
          <w:color w:val="000000"/>
          <w:sz w:val="22"/>
          <w:szCs w:val="22"/>
        </w:rPr>
        <w:t xml:space="preserve">: decreto de autorização para funcionamento no Brasil; </w:t>
      </w:r>
    </w:p>
    <w:p w14:paraId="6EF6A08D" w14:textId="77777777" w:rsidR="00A622C3" w:rsidRDefault="00263D7B">
      <w:pPr>
        <w:pStyle w:val="Normal4"/>
        <w:widowControl/>
        <w:tabs>
          <w:tab w:val="left" w:pos="0"/>
        </w:tabs>
        <w:spacing w:line="360" w:lineRule="auto"/>
        <w:ind w:right="284"/>
        <w:jc w:val="both"/>
        <w:rPr>
          <w:rFonts w:ascii="Arial" w:eastAsia="Arial" w:hAnsi="Arial" w:cs="Arial"/>
          <w:b/>
          <w:bCs/>
          <w:sz w:val="22"/>
          <w:szCs w:val="22"/>
        </w:rPr>
      </w:pPr>
      <w:r>
        <w:rPr>
          <w:rFonts w:ascii="Arial" w:eastAsia="Arial" w:hAnsi="Arial" w:cs="Arial"/>
          <w:color w:val="000000"/>
          <w:sz w:val="22"/>
          <w:szCs w:val="22"/>
        </w:rPr>
        <w:t>9.3.1. Os documentos apresentados deverão estar acompanhados de todas as alterações ou da consolidação respectiva.</w:t>
      </w:r>
    </w:p>
    <w:p w14:paraId="067A4626" w14:textId="77777777" w:rsidR="00A622C3" w:rsidRDefault="00A622C3">
      <w:pPr>
        <w:pStyle w:val="Normal4"/>
        <w:widowControl/>
        <w:tabs>
          <w:tab w:val="left" w:pos="0"/>
        </w:tabs>
        <w:spacing w:line="360" w:lineRule="auto"/>
        <w:ind w:right="284"/>
        <w:jc w:val="both"/>
        <w:rPr>
          <w:rFonts w:ascii="Arial" w:eastAsia="Arial" w:hAnsi="Arial" w:cs="Arial"/>
          <w:b/>
          <w:bCs/>
          <w:sz w:val="22"/>
          <w:szCs w:val="22"/>
        </w:rPr>
      </w:pPr>
    </w:p>
    <w:p w14:paraId="1BE1DC46"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u w:val="single"/>
        </w:rPr>
      </w:pPr>
      <w:r>
        <w:rPr>
          <w:rFonts w:ascii="Arial" w:eastAsia="Arial" w:hAnsi="Arial" w:cs="Arial"/>
          <w:color w:val="000000"/>
          <w:sz w:val="22"/>
          <w:szCs w:val="22"/>
        </w:rPr>
        <w:t>9.4</w:t>
      </w:r>
      <w:r>
        <w:rPr>
          <w:rFonts w:ascii="Arial" w:eastAsia="Arial" w:hAnsi="Arial" w:cs="Arial"/>
          <w:b/>
          <w:bCs/>
          <w:color w:val="000000"/>
          <w:sz w:val="22"/>
          <w:szCs w:val="22"/>
        </w:rPr>
        <w:t>.</w:t>
      </w:r>
      <w:r>
        <w:rPr>
          <w:rFonts w:ascii="Arial" w:eastAsia="Arial" w:hAnsi="Arial" w:cs="Arial"/>
          <w:color w:val="000000"/>
          <w:sz w:val="22"/>
          <w:szCs w:val="22"/>
        </w:rPr>
        <w:t xml:space="preserve"> </w:t>
      </w:r>
      <w:r>
        <w:rPr>
          <w:rFonts w:ascii="Arial" w:eastAsia="Arial" w:hAnsi="Arial" w:cs="Arial"/>
          <w:b/>
          <w:bCs/>
          <w:color w:val="000000"/>
          <w:sz w:val="22"/>
          <w:szCs w:val="22"/>
        </w:rPr>
        <w:t>Os documentos relativos à Regularidade Fiscal, Social e Trabalhista são:</w:t>
      </w:r>
    </w:p>
    <w:p w14:paraId="42CC334F" w14:textId="77777777" w:rsidR="00A622C3" w:rsidRDefault="00263D7B">
      <w:pPr>
        <w:pStyle w:val="Normal4"/>
        <w:widowControl/>
        <w:tabs>
          <w:tab w:val="left" w:pos="0"/>
          <w:tab w:val="left" w:pos="144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a) Comprovante de Inscrição e de Situação Cadastral no CNPJ;</w:t>
      </w:r>
    </w:p>
    <w:p w14:paraId="2ED93B49"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b)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5EC43456"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c</w:t>
      </w:r>
      <w:r>
        <w:rPr>
          <w:rFonts w:ascii="Arial" w:eastAsia="Arial" w:hAnsi="Arial" w:cs="Arial"/>
          <w:color w:val="000000"/>
          <w:sz w:val="22"/>
          <w:szCs w:val="22"/>
        </w:rPr>
        <w:t>) Comprovante de inscrição no Cadastro de contribuinte municipal, relativo ao domicílio ou sede do licitante, pertinente ao seu ramo de atividade e compatível com o objeto contratual;</w:t>
      </w:r>
    </w:p>
    <w:p w14:paraId="2818B8C3" w14:textId="77777777" w:rsidR="00A622C3" w:rsidRDefault="00263D7B">
      <w:pPr>
        <w:pStyle w:val="Normal4"/>
        <w:widowControl/>
        <w:tabs>
          <w:tab w:val="left" w:pos="0"/>
          <w:tab w:val="left" w:pos="1440"/>
        </w:tabs>
        <w:spacing w:line="360" w:lineRule="auto"/>
        <w:ind w:right="284"/>
        <w:jc w:val="both"/>
        <w:rPr>
          <w:rFonts w:ascii="Arial" w:eastAsia="Arial" w:hAnsi="Arial" w:cs="Arial"/>
          <w:color w:val="000000"/>
          <w:sz w:val="22"/>
          <w:szCs w:val="22"/>
        </w:rPr>
      </w:pPr>
      <w:r>
        <w:rPr>
          <w:rFonts w:ascii="Arial" w:eastAsia="Arial" w:hAnsi="Arial" w:cs="Arial"/>
          <w:sz w:val="22"/>
          <w:szCs w:val="22"/>
        </w:rPr>
        <w:t>d</w:t>
      </w:r>
      <w:r>
        <w:rPr>
          <w:rFonts w:ascii="Arial" w:eastAsia="Arial" w:hAnsi="Arial" w:cs="Arial"/>
          <w:color w:val="000000"/>
          <w:sz w:val="22"/>
          <w:szCs w:val="22"/>
        </w:rPr>
        <w:t>) Prova de regularidade relativa com a Fazenda municipal do domicílio ou sede do fornecedor, relativo à atividade em cujo exercício contrata ou concorre;</w:t>
      </w:r>
    </w:p>
    <w:p w14:paraId="5774CB6F" w14:textId="77777777" w:rsidR="00A622C3" w:rsidRDefault="00263D7B">
      <w:pPr>
        <w:pStyle w:val="Normal4"/>
        <w:widowControl/>
        <w:tabs>
          <w:tab w:val="left" w:pos="0"/>
          <w:tab w:val="left" w:pos="1440"/>
        </w:tabs>
        <w:spacing w:line="360" w:lineRule="auto"/>
        <w:ind w:right="284"/>
        <w:jc w:val="both"/>
        <w:rPr>
          <w:rFonts w:ascii="Arial" w:eastAsia="Arial" w:hAnsi="Arial" w:cs="Arial"/>
          <w:color w:val="000000"/>
          <w:sz w:val="22"/>
          <w:szCs w:val="22"/>
        </w:rPr>
      </w:pPr>
      <w:r>
        <w:rPr>
          <w:rFonts w:ascii="Arial" w:eastAsia="Arial" w:hAnsi="Arial" w:cs="Arial"/>
          <w:sz w:val="22"/>
          <w:szCs w:val="22"/>
        </w:rPr>
        <w:t>e</w:t>
      </w:r>
      <w:r>
        <w:rPr>
          <w:rFonts w:ascii="Arial" w:eastAsia="Arial" w:hAnsi="Arial" w:cs="Arial"/>
          <w:color w:val="000000"/>
          <w:sz w:val="22"/>
          <w:szCs w:val="22"/>
        </w:rPr>
        <w:t>) Prova de regularidade relativa Fundo de Garantia do Tempo de Serviço (FGTS);</w:t>
      </w:r>
    </w:p>
    <w:p w14:paraId="36AD3CD0" w14:textId="77777777" w:rsidR="00A622C3" w:rsidRDefault="00263D7B">
      <w:pPr>
        <w:pStyle w:val="Normal4"/>
        <w:widowControl/>
        <w:tabs>
          <w:tab w:val="left" w:pos="0"/>
          <w:tab w:val="left" w:pos="1440"/>
        </w:tabs>
        <w:spacing w:line="360" w:lineRule="auto"/>
        <w:ind w:right="284"/>
        <w:jc w:val="both"/>
        <w:rPr>
          <w:rFonts w:ascii="Arial" w:eastAsia="Arial" w:hAnsi="Arial" w:cs="Arial"/>
          <w:color w:val="000000"/>
          <w:sz w:val="22"/>
          <w:szCs w:val="22"/>
        </w:rPr>
      </w:pPr>
      <w:r>
        <w:rPr>
          <w:rFonts w:ascii="Arial" w:eastAsia="Arial" w:hAnsi="Arial" w:cs="Arial"/>
          <w:sz w:val="22"/>
          <w:szCs w:val="22"/>
        </w:rPr>
        <w:t>f</w:t>
      </w:r>
      <w:r>
        <w:rPr>
          <w:rFonts w:ascii="Arial" w:eastAsia="Arial" w:hAnsi="Arial" w:cs="Arial"/>
          <w:color w:val="000000"/>
          <w:sz w:val="22"/>
          <w:szCs w:val="22"/>
        </w:rPr>
        <w:t>)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F02C916" w14:textId="77777777" w:rsidR="00A622C3" w:rsidRDefault="00263D7B">
      <w:pPr>
        <w:pStyle w:val="Normal4"/>
        <w:widowControl/>
        <w:tabs>
          <w:tab w:val="left" w:pos="0"/>
          <w:tab w:val="left" w:pos="1440"/>
        </w:tabs>
        <w:spacing w:line="360" w:lineRule="auto"/>
        <w:ind w:right="284"/>
        <w:jc w:val="both"/>
        <w:rPr>
          <w:rFonts w:ascii="Arial" w:eastAsia="Arial" w:hAnsi="Arial" w:cs="Arial"/>
          <w:color w:val="000000"/>
          <w:sz w:val="22"/>
          <w:szCs w:val="22"/>
        </w:rPr>
      </w:pPr>
      <w:r>
        <w:rPr>
          <w:rFonts w:ascii="Arial" w:eastAsia="Arial" w:hAnsi="Arial" w:cs="Arial"/>
          <w:sz w:val="22"/>
          <w:szCs w:val="22"/>
        </w:rPr>
        <w:lastRenderedPageBreak/>
        <w:t>g</w:t>
      </w:r>
      <w:r>
        <w:rPr>
          <w:rFonts w:ascii="Arial" w:eastAsia="Arial" w:hAnsi="Arial" w:cs="Arial"/>
          <w:color w:val="000000"/>
          <w:sz w:val="22"/>
          <w:szCs w:val="22"/>
        </w:rPr>
        <w:t>) Caso o fornecedor seja considerado isento dos tributos municipais relacionados ao objeto contratual, deverá comprovar tal condição mediante a apresentação de declaração da Fazenda respectiva do seu domicílio ou sede, ou outra equivalente, na forma da lei.</w:t>
      </w:r>
    </w:p>
    <w:p w14:paraId="18E91C73"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t>h</w:t>
      </w:r>
      <w:r>
        <w:rPr>
          <w:rFonts w:ascii="Arial" w:eastAsia="Arial" w:hAnsi="Arial" w:cs="Arial"/>
          <w:color w:val="000000"/>
          <w:sz w:val="22"/>
          <w:szCs w:val="22"/>
        </w:rPr>
        <w:t>) 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41F517E2" w14:textId="77777777" w:rsidR="00A622C3" w:rsidRDefault="00A622C3">
      <w:pPr>
        <w:pStyle w:val="Normal4"/>
        <w:widowControl/>
        <w:spacing w:line="360" w:lineRule="auto"/>
        <w:jc w:val="both"/>
        <w:rPr>
          <w:rFonts w:ascii="Arial" w:eastAsia="Arial" w:hAnsi="Arial" w:cs="Arial"/>
          <w:sz w:val="22"/>
          <w:szCs w:val="22"/>
        </w:rPr>
      </w:pPr>
    </w:p>
    <w:p w14:paraId="72A2041A" w14:textId="77777777" w:rsidR="00A622C3" w:rsidRDefault="00263D7B">
      <w:pPr>
        <w:pStyle w:val="Normal4"/>
        <w:widowControl/>
        <w:tabs>
          <w:tab w:val="left" w:pos="588"/>
        </w:tabs>
        <w:spacing w:line="360" w:lineRule="auto"/>
        <w:ind w:right="284"/>
        <w:jc w:val="both"/>
        <w:rPr>
          <w:rFonts w:ascii="Arial" w:eastAsia="Arial" w:hAnsi="Arial" w:cs="Arial"/>
          <w:sz w:val="22"/>
          <w:szCs w:val="22"/>
        </w:rPr>
      </w:pPr>
      <w:r>
        <w:rPr>
          <w:rFonts w:ascii="Arial" w:eastAsia="Arial" w:hAnsi="Arial" w:cs="Arial"/>
          <w:sz w:val="22"/>
          <w:szCs w:val="22"/>
        </w:rPr>
        <w:t xml:space="preserve">9.5. Os critérios de </w:t>
      </w:r>
      <w:r>
        <w:rPr>
          <w:rFonts w:ascii="Arial" w:eastAsia="Arial" w:hAnsi="Arial" w:cs="Arial"/>
          <w:b/>
          <w:bCs/>
          <w:sz w:val="22"/>
          <w:szCs w:val="22"/>
        </w:rPr>
        <w:t>habilitação técnica</w:t>
      </w:r>
      <w:r>
        <w:rPr>
          <w:rFonts w:ascii="Arial" w:eastAsia="Arial" w:hAnsi="Arial" w:cs="Arial"/>
          <w:sz w:val="22"/>
          <w:szCs w:val="22"/>
        </w:rPr>
        <w:t xml:space="preserve"> a serem atendidos pelo fornecedor serão:</w:t>
      </w:r>
    </w:p>
    <w:p w14:paraId="4C8452D4" w14:textId="77777777" w:rsidR="00E05AC3" w:rsidRPr="00E05AC3" w:rsidRDefault="00263D7B" w:rsidP="00E05AC3">
      <w:pPr>
        <w:pStyle w:val="Normal5"/>
        <w:widowControl/>
        <w:spacing w:line="360" w:lineRule="auto"/>
        <w:jc w:val="both"/>
        <w:rPr>
          <w:rFonts w:ascii="Arial" w:eastAsia="Arial" w:hAnsi="Arial" w:cs="Arial"/>
          <w:sz w:val="22"/>
          <w:szCs w:val="22"/>
        </w:rPr>
      </w:pPr>
      <w:r>
        <w:rPr>
          <w:rFonts w:ascii="Arial" w:eastAsia="Arial" w:hAnsi="Arial" w:cs="Arial"/>
          <w:sz w:val="22"/>
          <w:szCs w:val="22"/>
        </w:rPr>
        <w:t xml:space="preserve">9.5.1. </w:t>
      </w:r>
      <w:r w:rsidR="00E05AC3" w:rsidRPr="00E05AC3">
        <w:rPr>
          <w:rFonts w:ascii="Arial" w:eastAsia="Arial" w:hAnsi="Arial" w:cs="Arial"/>
          <w:sz w:val="22"/>
          <w:szCs w:val="22"/>
        </w:rPr>
        <w:t xml:space="preserve">Comprovação de aptidão para execução de serviço </w:t>
      </w:r>
      <w:r w:rsidR="00E05AC3">
        <w:rPr>
          <w:rFonts w:ascii="Arial" w:eastAsia="Arial" w:hAnsi="Arial" w:cs="Arial"/>
          <w:sz w:val="22"/>
          <w:szCs w:val="22"/>
        </w:rPr>
        <w:t>de elaboração de maquetes físicas de prédios com características similares às do objeto</w:t>
      </w:r>
      <w:r w:rsidR="00E05AC3" w:rsidRPr="00E05AC3">
        <w:rPr>
          <w:rFonts w:ascii="Arial" w:eastAsia="Arial" w:hAnsi="Arial" w:cs="Arial"/>
          <w:sz w:val="22"/>
          <w:szCs w:val="22"/>
        </w:rPr>
        <w:t>, de complexidade tecnológica e operacional equivalente ou superior à do objeto desta contratação por meio da apresentação de certidões ou atestados emitidos por pessoas jurídicas de direito público ou privado, ou pelo conselho profissional competente, quando for o caso.</w:t>
      </w:r>
    </w:p>
    <w:p w14:paraId="0B6A72C0" w14:textId="77777777" w:rsidR="00E05AC3" w:rsidRPr="00EB1028" w:rsidRDefault="004B3F91" w:rsidP="004B3F91">
      <w:pPr>
        <w:pStyle w:val="Normal5"/>
        <w:widowControl/>
        <w:tabs>
          <w:tab w:val="left" w:pos="550"/>
          <w:tab w:val="left" w:pos="1440"/>
        </w:tabs>
        <w:spacing w:line="360" w:lineRule="auto"/>
        <w:ind w:left="566" w:right="284"/>
        <w:jc w:val="both"/>
        <w:rPr>
          <w:rFonts w:ascii="Arial" w:eastAsia="Arial" w:hAnsi="Arial" w:cs="Arial"/>
          <w:sz w:val="22"/>
          <w:szCs w:val="22"/>
        </w:rPr>
      </w:pPr>
      <w:r>
        <w:rPr>
          <w:rFonts w:ascii="Arial" w:eastAsia="Arial" w:hAnsi="Arial" w:cs="Arial"/>
          <w:sz w:val="22"/>
          <w:szCs w:val="22"/>
        </w:rPr>
        <w:t xml:space="preserve">9.5.1.1. </w:t>
      </w:r>
      <w:r w:rsidR="00E05AC3" w:rsidRPr="00EB1028">
        <w:rPr>
          <w:rFonts w:ascii="Arial" w:eastAsia="Arial" w:hAnsi="Arial" w:cs="Arial"/>
          <w:sz w:val="22"/>
          <w:szCs w:val="22"/>
        </w:rPr>
        <w:t>Para fins da comprovação de que trata este subitem, os atestados deverão dizer respeito a contratos executados com as seguintes características mínimas:</w:t>
      </w:r>
    </w:p>
    <w:p w14:paraId="0DC0DA2A" w14:textId="77777777" w:rsidR="00E05AC3" w:rsidRPr="00482B2F" w:rsidRDefault="00482B2F" w:rsidP="004B3F91">
      <w:pPr>
        <w:pStyle w:val="Normal5"/>
        <w:widowControl/>
        <w:numPr>
          <w:ilvl w:val="2"/>
          <w:numId w:val="4"/>
        </w:numPr>
        <w:tabs>
          <w:tab w:val="left" w:pos="55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C</w:t>
      </w:r>
      <w:r w:rsidR="00E05AC3" w:rsidRPr="00482B2F">
        <w:rPr>
          <w:rFonts w:ascii="Arial" w:eastAsia="Arial" w:hAnsi="Arial" w:cs="Arial"/>
          <w:sz w:val="22"/>
          <w:szCs w:val="22"/>
        </w:rPr>
        <w:t xml:space="preserve">ontrato(s) que comprove(m) a experiência mínima de </w:t>
      </w:r>
      <w:r>
        <w:rPr>
          <w:rFonts w:ascii="Arial" w:eastAsia="Arial" w:hAnsi="Arial" w:cs="Arial"/>
          <w:sz w:val="22"/>
          <w:szCs w:val="22"/>
        </w:rPr>
        <w:t>02</w:t>
      </w:r>
      <w:r w:rsidR="00E05AC3" w:rsidRPr="00482B2F">
        <w:rPr>
          <w:rFonts w:ascii="Arial" w:eastAsia="Arial" w:hAnsi="Arial" w:cs="Arial"/>
          <w:sz w:val="22"/>
          <w:szCs w:val="22"/>
        </w:rPr>
        <w:t xml:space="preserve"> (</w:t>
      </w:r>
      <w:r>
        <w:rPr>
          <w:rFonts w:ascii="Arial" w:eastAsia="Arial" w:hAnsi="Arial" w:cs="Arial"/>
          <w:sz w:val="22"/>
          <w:szCs w:val="22"/>
        </w:rPr>
        <w:t>dois</w:t>
      </w:r>
      <w:r w:rsidR="00E05AC3" w:rsidRPr="00482B2F">
        <w:rPr>
          <w:rFonts w:ascii="Arial" w:eastAsia="Arial" w:hAnsi="Arial" w:cs="Arial"/>
          <w:sz w:val="22"/>
          <w:szCs w:val="22"/>
        </w:rPr>
        <w:t>) anos do fornecedor na prestação dos serviços, em períodos sucessivos ou não, sendo aceito o somatório de atestados de períodos diferentes;</w:t>
      </w:r>
    </w:p>
    <w:p w14:paraId="3A7E2964" w14:textId="77777777" w:rsidR="00A622C3" w:rsidRDefault="00263D7B" w:rsidP="004B3F91">
      <w:pPr>
        <w:pStyle w:val="Normal4"/>
        <w:widowControl/>
        <w:numPr>
          <w:ilvl w:val="2"/>
          <w:numId w:val="4"/>
        </w:numPr>
        <w:tabs>
          <w:tab w:val="left" w:pos="55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Será admitida, para fins de comprovação de quantitativo mínimo, a apresentação e o somatório de diferentes atestados executados de forma concomitante.</w:t>
      </w:r>
    </w:p>
    <w:p w14:paraId="1506BAA5" w14:textId="77777777" w:rsidR="00A622C3" w:rsidRDefault="00263D7B" w:rsidP="004B3F91">
      <w:pPr>
        <w:pStyle w:val="Normal4"/>
        <w:widowControl/>
        <w:numPr>
          <w:ilvl w:val="2"/>
          <w:numId w:val="4"/>
        </w:numPr>
        <w:tabs>
          <w:tab w:val="left" w:pos="55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Os atestados de capacidade técnica poderão ser apresentados em nome da matriz ou da filial do fornecedor.</w:t>
      </w:r>
    </w:p>
    <w:p w14:paraId="3E331333" w14:textId="77777777" w:rsidR="00A622C3" w:rsidRDefault="00263D7B" w:rsidP="004B3F91">
      <w:pPr>
        <w:pStyle w:val="Normal4"/>
        <w:widowControl/>
        <w:numPr>
          <w:ilvl w:val="2"/>
          <w:numId w:val="4"/>
        </w:numPr>
        <w:tabs>
          <w:tab w:val="left" w:pos="55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48745B67" w14:textId="77777777" w:rsidR="00EE34BC" w:rsidRDefault="00EE34BC" w:rsidP="004B3F91">
      <w:pPr>
        <w:pStyle w:val="Normal5"/>
        <w:widowControl/>
        <w:numPr>
          <w:ilvl w:val="2"/>
          <w:numId w:val="4"/>
        </w:numPr>
        <w:tabs>
          <w:tab w:val="left" w:pos="550"/>
          <w:tab w:val="left" w:pos="1440"/>
        </w:tabs>
        <w:spacing w:line="360" w:lineRule="auto"/>
        <w:ind w:right="284"/>
        <w:jc w:val="both"/>
        <w:rPr>
          <w:rFonts w:ascii="Arial" w:eastAsia="Arial" w:hAnsi="Arial" w:cs="Arial"/>
          <w:sz w:val="22"/>
          <w:szCs w:val="22"/>
        </w:rPr>
      </w:pPr>
      <w:r w:rsidRPr="00EE34BC">
        <w:rPr>
          <w:rFonts w:ascii="Arial" w:eastAsia="Arial" w:hAnsi="Arial" w:cs="Arial"/>
          <w:sz w:val="22"/>
          <w:szCs w:val="22"/>
        </w:rPr>
        <w:t>Os atestados deverão referir-se a serviços prestados no âmbito de sua atividade econômica principal ou secundária especificadas no contrato social vigente.</w:t>
      </w:r>
    </w:p>
    <w:p w14:paraId="32E34A06" w14:textId="77777777" w:rsidR="00A622C3" w:rsidRDefault="00A622C3">
      <w:pPr>
        <w:pStyle w:val="Normal4"/>
        <w:widowControl/>
        <w:tabs>
          <w:tab w:val="left" w:pos="0"/>
          <w:tab w:val="left" w:pos="1440"/>
        </w:tabs>
        <w:spacing w:line="360" w:lineRule="auto"/>
        <w:jc w:val="both"/>
        <w:rPr>
          <w:rFonts w:ascii="Arial" w:eastAsia="Arial" w:hAnsi="Arial" w:cs="Arial"/>
          <w:sz w:val="22"/>
          <w:szCs w:val="22"/>
        </w:rPr>
      </w:pPr>
    </w:p>
    <w:p w14:paraId="549B8638" w14:textId="77777777" w:rsidR="00A622C3" w:rsidRDefault="00263D7B">
      <w:pPr>
        <w:pStyle w:val="Normal4"/>
        <w:widowControl/>
        <w:tabs>
          <w:tab w:val="left" w:pos="0"/>
        </w:tabs>
        <w:spacing w:line="360" w:lineRule="auto"/>
        <w:ind w:right="284"/>
        <w:jc w:val="both"/>
        <w:rPr>
          <w:rFonts w:ascii="Arial" w:eastAsia="Arial" w:hAnsi="Arial" w:cs="Arial"/>
          <w:b/>
          <w:bCs/>
          <w:sz w:val="22"/>
          <w:szCs w:val="22"/>
        </w:rPr>
      </w:pPr>
      <w:r>
        <w:rPr>
          <w:rFonts w:ascii="Arial" w:eastAsia="Arial" w:hAnsi="Arial" w:cs="Arial"/>
          <w:b/>
          <w:bCs/>
          <w:sz w:val="22"/>
          <w:szCs w:val="22"/>
        </w:rPr>
        <w:t>PARA PESSOA FÍSICA</w:t>
      </w:r>
    </w:p>
    <w:p w14:paraId="6D78FB77"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 xml:space="preserve">9.6. Para o licitante </w:t>
      </w:r>
      <w:r>
        <w:rPr>
          <w:rFonts w:ascii="Arial" w:eastAsia="Arial" w:hAnsi="Arial" w:cs="Arial"/>
          <w:b/>
          <w:bCs/>
          <w:sz w:val="22"/>
          <w:szCs w:val="22"/>
        </w:rPr>
        <w:t>Pessoa Física</w:t>
      </w:r>
      <w:r>
        <w:rPr>
          <w:rFonts w:ascii="Arial" w:eastAsia="Arial" w:hAnsi="Arial" w:cs="Arial"/>
          <w:sz w:val="22"/>
          <w:szCs w:val="22"/>
        </w:rPr>
        <w:t xml:space="preserve"> serão exigidos os seguintes documentos:</w:t>
      </w:r>
    </w:p>
    <w:p w14:paraId="5553FE5D"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highlight w:val="white"/>
        </w:rPr>
        <w:t xml:space="preserve"> </w:t>
      </w:r>
      <w:r>
        <w:rPr>
          <w:rFonts w:ascii="Arial" w:eastAsia="Arial" w:hAnsi="Arial" w:cs="Arial"/>
          <w:sz w:val="22"/>
          <w:szCs w:val="22"/>
        </w:rPr>
        <w:t>cédula de identidade (RG) ou documento equivalente que, por força de lei, tenha validade para fins de identificação em todo o território nacional; </w:t>
      </w:r>
    </w:p>
    <w:p w14:paraId="125212A0"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highlight w:val="white"/>
        </w:rPr>
      </w:pPr>
      <w:r>
        <w:rPr>
          <w:rFonts w:ascii="Arial" w:eastAsia="Arial" w:hAnsi="Arial" w:cs="Arial"/>
          <w:sz w:val="22"/>
          <w:szCs w:val="22"/>
        </w:rPr>
        <w:lastRenderedPageBreak/>
        <w:t>b) Prova de inscrição no Cadastro Nacional de Pessoas Físicas;</w:t>
      </w:r>
    </w:p>
    <w:p w14:paraId="71A1399F"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highlight w:val="white"/>
        </w:rPr>
      </w:pPr>
      <w:r>
        <w:rPr>
          <w:rFonts w:ascii="Arial" w:eastAsia="Arial" w:hAnsi="Arial" w:cs="Arial"/>
          <w:sz w:val="22"/>
          <w:szCs w:val="22"/>
          <w:highlight w:val="white"/>
        </w:rPr>
        <w:t>c) prova de regularidade perante a Fazenda Federal e Municipal do domicílio ou sede do licitante, ou outra equivalente, na forma da lei;</w:t>
      </w:r>
    </w:p>
    <w:p w14:paraId="512C7D20"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rPr>
      </w:pPr>
      <w:r>
        <w:rPr>
          <w:rFonts w:ascii="Arial" w:eastAsia="Arial" w:hAnsi="Arial" w:cs="Arial"/>
          <w:sz w:val="22"/>
          <w:szCs w:val="22"/>
          <w:highlight w:val="white"/>
        </w:rPr>
        <w:t>d) prova de regularidade perante a Seguridade Social e trabalhista;</w:t>
      </w:r>
    </w:p>
    <w:p w14:paraId="32C911E9" w14:textId="77777777" w:rsidR="00A622C3" w:rsidRDefault="00263D7B">
      <w:pPr>
        <w:pStyle w:val="Normal4"/>
        <w:widowControl/>
        <w:tabs>
          <w:tab w:val="left" w:pos="0"/>
          <w:tab w:val="left" w:pos="1440"/>
        </w:tabs>
        <w:spacing w:line="360" w:lineRule="auto"/>
        <w:ind w:right="284"/>
        <w:jc w:val="both"/>
        <w:rPr>
          <w:rFonts w:ascii="Arial" w:eastAsia="Arial" w:hAnsi="Arial" w:cs="Arial"/>
          <w:sz w:val="22"/>
          <w:szCs w:val="22"/>
          <w:highlight w:val="white"/>
        </w:rPr>
      </w:pPr>
      <w:r>
        <w:rPr>
          <w:rFonts w:ascii="Arial" w:eastAsia="Arial" w:hAnsi="Arial" w:cs="Arial"/>
          <w:sz w:val="22"/>
          <w:szCs w:val="22"/>
          <w:highlight w:val="white"/>
        </w:rPr>
        <w:t>e) certidão de ou atestado de qualificação técnica, expedido por pessoas jurídicas de direito público ou privado, que comprove ter prestado os serviços objeto da licitação.</w:t>
      </w:r>
    </w:p>
    <w:p w14:paraId="66C0F6F4" w14:textId="77777777" w:rsidR="00A622C3" w:rsidRDefault="00A622C3">
      <w:pPr>
        <w:pStyle w:val="Normal4"/>
        <w:widowControl/>
        <w:tabs>
          <w:tab w:val="left" w:pos="0"/>
          <w:tab w:val="left" w:pos="1440"/>
        </w:tabs>
        <w:spacing w:line="360" w:lineRule="auto"/>
        <w:ind w:right="284"/>
        <w:jc w:val="both"/>
        <w:rPr>
          <w:rFonts w:ascii="Arial" w:eastAsia="Arial" w:hAnsi="Arial" w:cs="Arial"/>
          <w:color w:val="FF0000"/>
          <w:sz w:val="22"/>
          <w:szCs w:val="22"/>
        </w:rPr>
      </w:pPr>
    </w:p>
    <w:p w14:paraId="13CECA48" w14:textId="77777777" w:rsidR="00A622C3" w:rsidRDefault="00263D7B">
      <w:pPr>
        <w:pStyle w:val="Normal4"/>
        <w:widowControl/>
        <w:tabs>
          <w:tab w:val="left" w:pos="0"/>
          <w:tab w:val="left" w:pos="1440"/>
        </w:tabs>
        <w:spacing w:line="360" w:lineRule="auto"/>
        <w:ind w:right="284"/>
        <w:jc w:val="both"/>
        <w:rPr>
          <w:rFonts w:ascii="Arial" w:eastAsia="Arial" w:hAnsi="Arial" w:cs="Arial"/>
          <w:b/>
          <w:bCs/>
          <w:sz w:val="22"/>
          <w:szCs w:val="22"/>
        </w:rPr>
      </w:pPr>
      <w:r>
        <w:rPr>
          <w:rFonts w:ascii="Arial" w:eastAsia="Arial" w:hAnsi="Arial" w:cs="Arial"/>
          <w:b/>
          <w:bCs/>
          <w:sz w:val="22"/>
          <w:szCs w:val="22"/>
        </w:rPr>
        <w:t>Disposições gerais sobre habilitação</w:t>
      </w:r>
    </w:p>
    <w:p w14:paraId="7F32E540"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9.7. Quando permitida a participação de empresas estrangeiras que não funcionem no País, as exigências de habilitação serão atendidas mediante documentos equivalentes, inicialmente apresentados em tradução livre.</w:t>
      </w:r>
    </w:p>
    <w:p w14:paraId="5E91B1D3"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 xml:space="preserve">9.8 Na hipótese de o fornecedor ser empresa estrangeira que não funcione no País, para assinatura do contrato ou da ata de registro de preços ou do aceite do instrumento equivalente, os documentos exigidos para a habilitação serão traduzidos por tradutor juramentado no País e apostilados nos termos do disposto no Decreto nº 8.660, de 29 de janeiro de 2016, ou de outro que venha a substituí-lo, ou </w:t>
      </w:r>
      <w:proofErr w:type="spellStart"/>
      <w:r>
        <w:rPr>
          <w:rFonts w:ascii="Arial" w:eastAsia="Arial" w:hAnsi="Arial" w:cs="Arial"/>
          <w:sz w:val="22"/>
          <w:szCs w:val="22"/>
        </w:rPr>
        <w:t>consularizados</w:t>
      </w:r>
      <w:proofErr w:type="spellEnd"/>
      <w:r>
        <w:rPr>
          <w:rFonts w:ascii="Arial" w:eastAsia="Arial" w:hAnsi="Arial" w:cs="Arial"/>
          <w:sz w:val="22"/>
          <w:szCs w:val="22"/>
        </w:rPr>
        <w:t xml:space="preserve"> pelos respectivos consulados ou embaixadas.</w:t>
      </w:r>
    </w:p>
    <w:p w14:paraId="165FC2F2"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9.9. Não serão aceitos documentos de habilitação com indicação de CNPJ/CPF diferentes, salvo aqueles legalmente permitidos.</w:t>
      </w:r>
    </w:p>
    <w:p w14:paraId="72C688D7"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9.10. 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457C9285"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9.11. Serão aceitos registros de CNPJ de fornecedor matriz e filial com diferenças de números de documentos pertinentes ao CND e ao CRF/FGTS, quando for comprovada a centralização do recolhimento dessas contribuições.</w:t>
      </w:r>
    </w:p>
    <w:p w14:paraId="570DE03E"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9.12. Não será oportunizada a participação a cooperativas, dada a necessidade de subordinação jurídica e pessoalidade necessárias à segurança da contratação.</w:t>
      </w:r>
    </w:p>
    <w:p w14:paraId="4A6081E4" w14:textId="77777777" w:rsidR="00A622C3" w:rsidRDefault="00263D7B">
      <w:pPr>
        <w:pStyle w:val="Normal4"/>
        <w:widowControl/>
        <w:tabs>
          <w:tab w:val="left" w:pos="0"/>
          <w:tab w:val="left" w:pos="1440"/>
        </w:tabs>
        <w:spacing w:line="360" w:lineRule="auto"/>
        <w:jc w:val="both"/>
        <w:rPr>
          <w:rFonts w:ascii="Arial" w:eastAsia="Arial" w:hAnsi="Arial" w:cs="Arial"/>
          <w:sz w:val="22"/>
          <w:szCs w:val="22"/>
        </w:rPr>
      </w:pPr>
      <w:r>
        <w:rPr>
          <w:rFonts w:ascii="Arial" w:eastAsia="Arial" w:hAnsi="Arial" w:cs="Arial"/>
          <w:sz w:val="22"/>
          <w:szCs w:val="22"/>
        </w:rPr>
        <w:t>9.13. Será exigida qualificação técnica por se tratar de serviço técnico especializado.</w:t>
      </w:r>
    </w:p>
    <w:p w14:paraId="7363D9B9" w14:textId="77777777" w:rsidR="00A622C3" w:rsidRDefault="00A622C3">
      <w:pPr>
        <w:pStyle w:val="Normal4"/>
        <w:widowControl/>
        <w:tabs>
          <w:tab w:val="left" w:pos="0"/>
          <w:tab w:val="left" w:pos="1440"/>
        </w:tabs>
        <w:spacing w:line="360" w:lineRule="auto"/>
        <w:jc w:val="both"/>
        <w:rPr>
          <w:rFonts w:ascii="Arial" w:eastAsia="Arial" w:hAnsi="Arial" w:cs="Arial"/>
          <w:sz w:val="22"/>
          <w:szCs w:val="22"/>
        </w:rPr>
      </w:pPr>
    </w:p>
    <w:p w14:paraId="58A47C80" w14:textId="77777777" w:rsidR="00A622C3" w:rsidRDefault="00263D7B">
      <w:pPr>
        <w:pStyle w:val="Normal4"/>
        <w:widowControl/>
        <w:tabs>
          <w:tab w:val="left" w:pos="0"/>
        </w:tabs>
        <w:spacing w:line="360" w:lineRule="auto"/>
        <w:ind w:right="284"/>
        <w:jc w:val="both"/>
        <w:rPr>
          <w:rFonts w:ascii="Arial" w:eastAsia="Arial" w:hAnsi="Arial" w:cs="Arial"/>
          <w:b/>
          <w:bCs/>
          <w:color w:val="FF0000"/>
          <w:sz w:val="22"/>
          <w:szCs w:val="22"/>
        </w:rPr>
      </w:pPr>
      <w:r>
        <w:rPr>
          <w:rFonts w:ascii="Arial" w:eastAsia="Arial" w:hAnsi="Arial" w:cs="Arial"/>
          <w:color w:val="000000"/>
          <w:sz w:val="22"/>
          <w:szCs w:val="22"/>
        </w:rPr>
        <w:t>10.</w:t>
      </w:r>
      <w:r>
        <w:rPr>
          <w:rFonts w:ascii="Arial" w:eastAsia="Arial" w:hAnsi="Arial" w:cs="Arial"/>
          <w:b/>
          <w:bCs/>
          <w:color w:val="000000"/>
          <w:sz w:val="22"/>
          <w:szCs w:val="22"/>
        </w:rPr>
        <w:t xml:space="preserve"> OBRIGAÇÕES DO CONTRATADO </w:t>
      </w:r>
      <w:proofErr w:type="gramStart"/>
      <w:r>
        <w:rPr>
          <w:rFonts w:ascii="Arial" w:eastAsia="Arial" w:hAnsi="Arial" w:cs="Arial"/>
          <w:b/>
          <w:bCs/>
          <w:color w:val="000000"/>
          <w:sz w:val="22"/>
          <w:szCs w:val="22"/>
        </w:rPr>
        <w:t>( art.</w:t>
      </w:r>
      <w:proofErr w:type="gramEnd"/>
      <w:r>
        <w:rPr>
          <w:rFonts w:ascii="Arial" w:eastAsia="Arial" w:hAnsi="Arial" w:cs="Arial"/>
          <w:b/>
          <w:bCs/>
          <w:color w:val="000000"/>
          <w:sz w:val="22"/>
          <w:szCs w:val="22"/>
        </w:rPr>
        <w:t>92, XIV, XVI e XVII da Lei nº 14.133/2021)</w:t>
      </w:r>
    </w:p>
    <w:p w14:paraId="394922BA"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10.1. A Contratada deve cumprir todas as obrigações constantes no Edital, seus anexos e sua proposta, assumindo como exclusivamente seus os riscos e as despesas decorrentes da boa e perfeita execução do objeto.</w:t>
      </w:r>
    </w:p>
    <w:p w14:paraId="45C60672"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 xml:space="preserve">10.2.  </w:t>
      </w:r>
      <w:r>
        <w:rPr>
          <w:rFonts w:ascii="Arial" w:eastAsia="Arial" w:hAnsi="Arial" w:cs="Arial"/>
          <w:color w:val="00000A"/>
          <w:sz w:val="22"/>
          <w:szCs w:val="22"/>
        </w:rPr>
        <w:t>A Contratada designará formalmente o preposto da empresa, antes do início da prestação dos serviços, indicando no instrumento os poderes e deveres em relação à execução do objeto contratado.</w:t>
      </w:r>
    </w:p>
    <w:p w14:paraId="58F22B30" w14:textId="77777777" w:rsidR="00A622C3" w:rsidRDefault="00263D7B">
      <w:pPr>
        <w:pStyle w:val="Normal4"/>
        <w:widowControl/>
        <w:spacing w:line="360" w:lineRule="auto"/>
        <w:jc w:val="both"/>
        <w:rPr>
          <w:rFonts w:ascii="Arial" w:eastAsia="Arial" w:hAnsi="Arial" w:cs="Arial"/>
          <w:sz w:val="22"/>
          <w:szCs w:val="22"/>
        </w:rPr>
      </w:pPr>
      <w:r>
        <w:rPr>
          <w:rFonts w:ascii="Arial" w:eastAsia="Arial" w:hAnsi="Arial" w:cs="Arial"/>
          <w:sz w:val="22"/>
          <w:szCs w:val="22"/>
        </w:rPr>
        <w:lastRenderedPageBreak/>
        <w:t>10.2.1. O órgão ou entidade poderá convocar representante/preposto da empresa para adoção de providências que devam ser cumpridas de imediato.</w:t>
      </w:r>
    </w:p>
    <w:p w14:paraId="5D6FC03B" w14:textId="77777777" w:rsidR="00A622C3" w:rsidRDefault="00263D7B">
      <w:pPr>
        <w:pStyle w:val="Normal4"/>
        <w:widowControl/>
        <w:shd w:val="clear" w:color="auto" w:fill="FFFFFF"/>
        <w:spacing w:before="120" w:after="120" w:line="360" w:lineRule="auto"/>
        <w:jc w:val="both"/>
        <w:rPr>
          <w:rFonts w:ascii="Arial" w:eastAsia="Arial" w:hAnsi="Arial" w:cs="Arial"/>
          <w:color w:val="FF0000"/>
          <w:sz w:val="22"/>
          <w:szCs w:val="22"/>
          <w:highlight w:val="cyan"/>
        </w:rPr>
      </w:pPr>
      <w:r>
        <w:rPr>
          <w:rFonts w:ascii="Arial" w:eastAsia="Arial" w:hAnsi="Arial" w:cs="Arial"/>
          <w:color w:val="00000A"/>
          <w:sz w:val="22"/>
          <w:szCs w:val="22"/>
        </w:rPr>
        <w:t>10.2.2. O Contratante poderá recusar, desde que justificadamente, a indicação ou a manutenção do preposto da empresa, hipótese em que o Contratado designará outro para o exercício da atividade.</w:t>
      </w:r>
    </w:p>
    <w:p w14:paraId="232E7193"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10.3. Atender às determinações regulares emitidas pelo fiscal do contrato ou autoridade superior (</w:t>
      </w:r>
      <w:hyperlink r:id="rId33" w:anchor="art137">
        <w:r>
          <w:rPr>
            <w:rFonts w:ascii="Arial" w:eastAsia="Arial" w:hAnsi="Arial" w:cs="Arial"/>
            <w:color w:val="000080"/>
            <w:sz w:val="22"/>
            <w:szCs w:val="22"/>
            <w:u w:val="single"/>
          </w:rPr>
          <w:t>art. 137, II</w:t>
        </w:r>
      </w:hyperlink>
      <w:r>
        <w:rPr>
          <w:rFonts w:ascii="Arial" w:eastAsia="Arial" w:hAnsi="Arial" w:cs="Arial"/>
          <w:sz w:val="22"/>
          <w:szCs w:val="22"/>
        </w:rPr>
        <w:t xml:space="preserve"> da Lei nº 14.133/2021</w:t>
      </w:r>
      <w:r>
        <w:rPr>
          <w:rFonts w:ascii="Arial" w:eastAsia="Arial" w:hAnsi="Arial" w:cs="Arial"/>
          <w:color w:val="000000"/>
          <w:sz w:val="22"/>
          <w:szCs w:val="22"/>
        </w:rPr>
        <w:t>);</w:t>
      </w:r>
    </w:p>
    <w:p w14:paraId="47C7DB96"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10.4. 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593FD265"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sz w:val="22"/>
          <w:szCs w:val="22"/>
        </w:rPr>
      </w:pPr>
      <w:r>
        <w:rPr>
          <w:rFonts w:ascii="Arial" w:eastAsia="Arial" w:hAnsi="Arial" w:cs="Arial"/>
          <w:color w:val="000000"/>
          <w:sz w:val="22"/>
          <w:szCs w:val="22"/>
        </w:rPr>
        <w:t>10.5.  Reparar, corrigir, remover, reconstruir ou substituir, às suas expensas, no total ou em parte, no prazo fixado pelo fiscal do contrato, os serviços nos quais se verificarem vícios, defeitos ou incorreções resultantes da execução ou dos materiais empregados;</w:t>
      </w:r>
    </w:p>
    <w:p w14:paraId="007762C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10.6. Responsabilizar-se pelos vícios e danos decorrentes da execução do objeto, de acordo com o </w:t>
      </w:r>
      <w:hyperlink r:id="rId34">
        <w:r>
          <w:rPr>
            <w:rFonts w:ascii="Arial" w:eastAsia="Arial" w:hAnsi="Arial" w:cs="Arial"/>
            <w:color w:val="000080"/>
            <w:sz w:val="22"/>
            <w:szCs w:val="22"/>
            <w:u w:val="single"/>
          </w:rPr>
          <w:t>Código de Defesa do Consumidor (Lei nº 8.078, de 1990</w:t>
        </w:r>
      </w:hyperlink>
      <w:r>
        <w:rPr>
          <w:rFonts w:ascii="Arial" w:eastAsia="Arial" w:hAnsi="Arial" w:cs="Arial"/>
          <w:color w:val="000000"/>
          <w:sz w:val="22"/>
          <w:szCs w:val="22"/>
        </w:rPr>
        <w:t>),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7F155052"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10.7. Não contratar, durante a vigência do contrato, cônjuge, companheiro ou parente em linha reta, colateral ou por afinidade, até o terceiro grau, de dirigente do contratante ou do fiscal ou gestor do contrato, nos termos do </w:t>
      </w:r>
      <w:hyperlink r:id="rId35" w:anchor="art48">
        <w:r>
          <w:rPr>
            <w:rFonts w:ascii="Arial" w:eastAsia="Arial" w:hAnsi="Arial" w:cs="Arial"/>
            <w:color w:val="000080"/>
            <w:sz w:val="22"/>
            <w:szCs w:val="22"/>
            <w:u w:val="single"/>
          </w:rPr>
          <w:t>artigo 48, parágrafo único, da Lei nº 14.133, de 2021</w:t>
        </w:r>
      </w:hyperlink>
      <w:r>
        <w:rPr>
          <w:rFonts w:ascii="Arial" w:eastAsia="Arial" w:hAnsi="Arial" w:cs="Arial"/>
          <w:color w:val="000000"/>
          <w:sz w:val="22"/>
          <w:szCs w:val="22"/>
        </w:rPr>
        <w:t>;</w:t>
      </w:r>
    </w:p>
    <w:p w14:paraId="6FB7466F" w14:textId="77777777" w:rsidR="00A622C3" w:rsidRDefault="00A622C3">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p>
    <w:p w14:paraId="6516043D"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sz w:val="22"/>
          <w:szCs w:val="22"/>
        </w:rPr>
        <w:t>8</w:t>
      </w:r>
      <w:r>
        <w:rPr>
          <w:rFonts w:ascii="Arial" w:eastAsia="Arial" w:hAnsi="Arial" w:cs="Arial"/>
          <w:color w:val="000000"/>
          <w:sz w:val="22"/>
          <w:szCs w:val="22"/>
        </w:rPr>
        <w:t>. Não permitir a utilização de qualquer trabalho do menor de dezesseis anos, exceto na condição de aprendiz para os maiores de quatorze anos, nem permitir a utilização do trabalho do menor de dezoito anos em trabalho noturno, perigoso ou insalubre;</w:t>
      </w:r>
    </w:p>
    <w:p w14:paraId="18AD7200"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sz w:val="22"/>
          <w:szCs w:val="22"/>
        </w:rPr>
        <w:t>9</w:t>
      </w:r>
      <w:r>
        <w:rPr>
          <w:rFonts w:ascii="Arial" w:eastAsia="Arial" w:hAnsi="Arial" w:cs="Arial"/>
          <w:color w:val="000000"/>
          <w:sz w:val="22"/>
          <w:szCs w:val="22"/>
        </w:rPr>
        <w:t xml:space="preserve">. Manter durante toda a vigência do contrato, em compatibilidade com as obrigações assumidas, todas as condições exigidas para habilitação na licitação; </w:t>
      </w:r>
    </w:p>
    <w:p w14:paraId="50FB3BAC"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sz w:val="22"/>
          <w:szCs w:val="22"/>
        </w:rPr>
        <w:t>1</w:t>
      </w:r>
      <w:r>
        <w:rPr>
          <w:rFonts w:ascii="Arial" w:eastAsia="Arial" w:hAnsi="Arial" w:cs="Arial"/>
          <w:color w:val="000000"/>
          <w:sz w:val="22"/>
          <w:szCs w:val="22"/>
        </w:rPr>
        <w:t>0. Guardar sigilo sobre todas as informações obtidas em decorrência do cumprimento do contrato;</w:t>
      </w:r>
    </w:p>
    <w:p w14:paraId="512D0EE0"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sz w:val="22"/>
          <w:szCs w:val="22"/>
        </w:rPr>
        <w:t>1</w:t>
      </w:r>
      <w:r>
        <w:rPr>
          <w:rFonts w:ascii="Arial" w:eastAsia="Arial" w:hAnsi="Arial" w:cs="Arial"/>
          <w:color w:val="000000"/>
          <w:sz w:val="22"/>
          <w:szCs w:val="22"/>
        </w:rPr>
        <w:t xml:space="preserve">1. Arcar com o ônus decorrente de eventual equívoco no dimensionamento dos quantitativos de sua proposta, inclusive quanto aos custos variáveis decorrentes de fatores futuros e incertos, devendo complementá-los, caso o previsto inicialmente em sua proposta </w:t>
      </w:r>
      <w:r>
        <w:rPr>
          <w:rFonts w:ascii="Arial" w:eastAsia="Arial" w:hAnsi="Arial" w:cs="Arial"/>
          <w:color w:val="000000"/>
          <w:sz w:val="22"/>
          <w:szCs w:val="22"/>
        </w:rPr>
        <w:lastRenderedPageBreak/>
        <w:t xml:space="preserve">não seja satisfatório para o atendimento do objeto da contratação, exceto quando ocorrer algum dos eventos arrolados no </w:t>
      </w:r>
      <w:hyperlink r:id="rId36" w:anchor="art124">
        <w:r>
          <w:rPr>
            <w:rFonts w:ascii="Arial" w:eastAsia="Arial" w:hAnsi="Arial" w:cs="Arial"/>
            <w:color w:val="000080"/>
            <w:sz w:val="22"/>
            <w:szCs w:val="22"/>
            <w:u w:val="single"/>
          </w:rPr>
          <w:t>art. 124, II, d, da Lei nº 14.133, de 2021</w:t>
        </w:r>
      </w:hyperlink>
      <w:r>
        <w:rPr>
          <w:rFonts w:ascii="Arial" w:eastAsia="Arial" w:hAnsi="Arial" w:cs="Arial"/>
          <w:color w:val="000000"/>
          <w:sz w:val="22"/>
          <w:szCs w:val="22"/>
        </w:rPr>
        <w:t>;</w:t>
      </w:r>
    </w:p>
    <w:p w14:paraId="48A0759A"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sz w:val="22"/>
          <w:szCs w:val="22"/>
        </w:rPr>
        <w:t>1</w:t>
      </w:r>
      <w:r>
        <w:rPr>
          <w:rFonts w:ascii="Arial" w:eastAsia="Arial" w:hAnsi="Arial" w:cs="Arial"/>
          <w:color w:val="000000"/>
          <w:sz w:val="22"/>
          <w:szCs w:val="22"/>
        </w:rPr>
        <w:t>2. Cumprir, além dos postulados legais vigentes de âmbito federal, estadual ou municipal, as normas de segurança do Contratante;</w:t>
      </w:r>
    </w:p>
    <w:p w14:paraId="4ECC60B2"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10.13. Aceitar os acréscimos ou supressões julgados necessários pelo Contratante, nos limites estabelecidos na Lei nº. 14.133/2021.</w:t>
      </w:r>
    </w:p>
    <w:p w14:paraId="11A67F02"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10.14. Não transferir a terceiros, por qualquer forma, nem mesmo parcialmente, as obrigações assumidas,</w:t>
      </w:r>
    </w:p>
    <w:p w14:paraId="3B632A3F"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nem subcontratar qualquer das prestações a que está obrigada.</w:t>
      </w:r>
    </w:p>
    <w:p w14:paraId="66588767"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10.15. Apresentar declaração de não incursão nas vedações da Resolução CNJ nº 7/2005.</w:t>
      </w:r>
    </w:p>
    <w:p w14:paraId="6D4F766C" w14:textId="77777777" w:rsidR="00A622C3" w:rsidRDefault="00A622C3">
      <w:pPr>
        <w:pStyle w:val="Normal4"/>
        <w:widowControl/>
        <w:jc w:val="both"/>
        <w:rPr>
          <w:rFonts w:ascii="Arial" w:eastAsia="Arial" w:hAnsi="Arial" w:cs="Arial"/>
          <w:sz w:val="22"/>
          <w:szCs w:val="22"/>
        </w:rPr>
      </w:pPr>
    </w:p>
    <w:p w14:paraId="1C7EFEAE" w14:textId="77777777" w:rsidR="00A622C3" w:rsidRDefault="00263D7B">
      <w:pPr>
        <w:pStyle w:val="Normal4"/>
        <w:keepNext/>
        <w:keepLines/>
        <w:widowControl/>
        <w:pBdr>
          <w:top w:val="nil"/>
          <w:left w:val="nil"/>
          <w:bottom w:val="nil"/>
          <w:right w:val="nil"/>
          <w:between w:val="nil"/>
        </w:pBdr>
        <w:tabs>
          <w:tab w:val="left" w:pos="567"/>
        </w:tabs>
        <w:spacing w:line="360" w:lineRule="auto"/>
        <w:jc w:val="both"/>
        <w:rPr>
          <w:rFonts w:ascii="Arial" w:eastAsia="Arial" w:hAnsi="Arial" w:cs="Arial"/>
          <w:b/>
          <w:bCs/>
          <w:color w:val="FFFFFF"/>
          <w:sz w:val="22"/>
          <w:szCs w:val="22"/>
        </w:rPr>
      </w:pPr>
      <w:r>
        <w:rPr>
          <w:rFonts w:ascii="Arial" w:eastAsia="Arial" w:hAnsi="Arial" w:cs="Arial"/>
          <w:b/>
          <w:bCs/>
          <w:color w:val="000000"/>
          <w:sz w:val="22"/>
          <w:szCs w:val="22"/>
        </w:rPr>
        <w:t>11</w:t>
      </w:r>
      <w:r>
        <w:rPr>
          <w:rFonts w:ascii="Arial" w:eastAsia="Arial" w:hAnsi="Arial" w:cs="Arial"/>
          <w:color w:val="000000"/>
          <w:sz w:val="22"/>
          <w:szCs w:val="22"/>
        </w:rPr>
        <w:t>.</w:t>
      </w:r>
      <w:r>
        <w:rPr>
          <w:rFonts w:ascii="Arial" w:eastAsia="Arial" w:hAnsi="Arial" w:cs="Arial"/>
          <w:b/>
          <w:bCs/>
          <w:color w:val="000000"/>
          <w:sz w:val="22"/>
          <w:szCs w:val="22"/>
        </w:rPr>
        <w:t xml:space="preserve"> OBRIGAÇÕES DO CONTRATANTE </w:t>
      </w:r>
    </w:p>
    <w:p w14:paraId="4EFD0CFC"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t>11.1.  Previamente à contratação a Administração realizará consulta ao SICAF, Cadastro Nacional de Empresas Inidôneas e Suspensas - CEIS, Cadastro Nacional de Condenações Cíveis por Atos de Improbidade Administrativa, mantido pelo Conselho Nacional de Justiça e Lista de inidôneos mantida pelo Tribunal de Contas da União para identificar possível suspensão temporária de participação em licitação, no âmbito do órgão ou entidade, proibição de contratar com o Poder Público, bem como ocorrências impeditivas indiretas, e nos termos do art. 6º</w:t>
      </w:r>
      <w:r>
        <w:rPr>
          <w:rFonts w:ascii="Arial" w:eastAsia="Arial" w:hAnsi="Arial" w:cs="Arial"/>
          <w:sz w:val="22"/>
          <w:szCs w:val="22"/>
        </w:rPr>
        <w:t xml:space="preserve"> - A</w:t>
      </w:r>
      <w:r>
        <w:rPr>
          <w:rFonts w:ascii="Arial" w:eastAsia="Arial" w:hAnsi="Arial" w:cs="Arial"/>
          <w:color w:val="000000"/>
          <w:sz w:val="22"/>
          <w:szCs w:val="22"/>
        </w:rPr>
        <w:t>, da Lei nº 10.522, de 19 de julho de 2002, consulta prévia ao CADIN e ao Cadastro Nacional de Empresas Punidas- CNEP, mantido pela Controladoria Geral da União (</w:t>
      </w:r>
      <w:hyperlink r:id="rId37">
        <w:r>
          <w:rPr>
            <w:rFonts w:ascii="Arial" w:eastAsia="Arial" w:hAnsi="Arial" w:cs="Arial"/>
            <w:i/>
            <w:iCs/>
            <w:color w:val="000000"/>
            <w:sz w:val="22"/>
            <w:szCs w:val="22"/>
            <w:u w:val="single"/>
          </w:rPr>
          <w:t>https://www.portaltransparencia.gov.br/sancoes/cnep</w:t>
        </w:r>
      </w:hyperlink>
      <w:r>
        <w:rPr>
          <w:rFonts w:ascii="Arial" w:eastAsia="Arial" w:hAnsi="Arial" w:cs="Arial"/>
          <w:color w:val="000000"/>
          <w:sz w:val="22"/>
          <w:szCs w:val="22"/>
        </w:rPr>
        <w:t xml:space="preserve"> ).</w:t>
      </w:r>
    </w:p>
    <w:p w14:paraId="5CE80D17"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11.2. Exigir o cumprimento de todas as obrigações assumidas pelo Contratado, de acordo com o contrato e seus anexos;</w:t>
      </w:r>
    </w:p>
    <w:p w14:paraId="4D4B1AA0"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11.3. Receber o objeto no prazo e condições estabelecidas no Termo de Referência;</w:t>
      </w:r>
    </w:p>
    <w:p w14:paraId="55493BD9"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11.4. Notificar o Contratado, por escrito, sobre vícios, defeitos ou incorreções verificadas no objeto fornecido, para que seja por ele substituído, reparado ou corrigido, no total ou em parte, às suas expensas;</w:t>
      </w:r>
    </w:p>
    <w:p w14:paraId="7589D7DC"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11.5. Acompanhar e fiscalizar a execução do contrato e o cumprimento das obrigações pelo Contratado;</w:t>
      </w:r>
    </w:p>
    <w:p w14:paraId="442AFF91"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11.6. Comunicar a empresa para emissão de Nota Fiscal no que </w:t>
      </w:r>
      <w:proofErr w:type="spellStart"/>
      <w:r>
        <w:rPr>
          <w:rFonts w:ascii="Arial" w:eastAsia="Arial" w:hAnsi="Arial" w:cs="Arial"/>
          <w:color w:val="000000"/>
          <w:sz w:val="22"/>
          <w:szCs w:val="22"/>
        </w:rPr>
        <w:t>pertine</w:t>
      </w:r>
      <w:proofErr w:type="spellEnd"/>
      <w:r>
        <w:rPr>
          <w:rFonts w:ascii="Arial" w:eastAsia="Arial" w:hAnsi="Arial" w:cs="Arial"/>
          <w:color w:val="000000"/>
          <w:sz w:val="22"/>
          <w:szCs w:val="22"/>
        </w:rPr>
        <w:t xml:space="preserve"> à parcela incontroversa da execução do objeto, para efeito de liquidação e pagamento, quando houver controvérsia sobre a execução do objeto, quanto à dimensão, qualidade e quantidade, conforme o art. 143 da Lei nº 14.133, de 2021;</w:t>
      </w:r>
    </w:p>
    <w:p w14:paraId="409B4633"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11.7. Efetuar o pagamento ao Contratado do valor correspondente à execução do objeto, no prazo, forma e condições estabelecidos no presente Contrato e no Termo de Referência;</w:t>
      </w:r>
    </w:p>
    <w:p w14:paraId="1FE0FB4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11.8. Aplicar ao Contratado as sanções previstas na lei e neste Contrato; </w:t>
      </w:r>
    </w:p>
    <w:p w14:paraId="1514AA16"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11.9. 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54CDD8EB"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0. A Administração terá o prazo de</w:t>
      </w:r>
      <w:r>
        <w:rPr>
          <w:rFonts w:ascii="Arial" w:eastAsia="Arial" w:hAnsi="Arial" w:cs="Arial"/>
          <w:i/>
          <w:iCs/>
          <w:color w:val="FF0000"/>
          <w:sz w:val="22"/>
          <w:szCs w:val="22"/>
        </w:rPr>
        <w:t xml:space="preserve"> </w:t>
      </w:r>
      <w:r>
        <w:rPr>
          <w:rFonts w:ascii="Arial" w:eastAsia="Arial" w:hAnsi="Arial" w:cs="Arial"/>
          <w:sz w:val="22"/>
          <w:szCs w:val="22"/>
        </w:rPr>
        <w:t xml:space="preserve">30 (trinta) dias, a </w:t>
      </w:r>
      <w:r>
        <w:rPr>
          <w:rFonts w:ascii="Arial" w:eastAsia="Arial" w:hAnsi="Arial" w:cs="Arial"/>
          <w:color w:val="000000"/>
          <w:sz w:val="22"/>
          <w:szCs w:val="22"/>
        </w:rPr>
        <w:t xml:space="preserve">contar da data do protocolo do requerimento para decidir, admitida a prorrogação motivada, por igual período. </w:t>
      </w:r>
    </w:p>
    <w:p w14:paraId="7807A1C9"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 xml:space="preserve">1. Responder eventuais pedidos de </w:t>
      </w:r>
      <w:r>
        <w:rPr>
          <w:rFonts w:ascii="Arial" w:eastAsia="Arial" w:hAnsi="Arial" w:cs="Arial"/>
          <w:sz w:val="22"/>
          <w:szCs w:val="22"/>
        </w:rPr>
        <w:t>restabelecimento</w:t>
      </w:r>
      <w:r>
        <w:rPr>
          <w:rFonts w:ascii="Arial" w:eastAsia="Arial" w:hAnsi="Arial" w:cs="Arial"/>
          <w:color w:val="000000"/>
          <w:sz w:val="22"/>
          <w:szCs w:val="22"/>
        </w:rPr>
        <w:t xml:space="preserve"> do equilíbrio econômico-financeiro feitos pelo contratado no prazo máximo d</w:t>
      </w:r>
      <w:r>
        <w:rPr>
          <w:rFonts w:ascii="Arial" w:eastAsia="Arial" w:hAnsi="Arial" w:cs="Arial"/>
          <w:sz w:val="22"/>
          <w:szCs w:val="22"/>
        </w:rPr>
        <w:t>e 30 (trinta) dias.</w:t>
      </w:r>
    </w:p>
    <w:p w14:paraId="57D683DE"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2. Notificar os emitentes das garantias quanto ao início de processo administrativo para apuração de descumprimento de cláusulas contratuais, quando for o caso.</w:t>
      </w:r>
    </w:p>
    <w:p w14:paraId="5B8DD28F"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 xml:space="preserve">3. Comunicar o Contratado na hipótese de posterior alteração do projeto pelo Contratante, no caso </w:t>
      </w:r>
      <w:hyperlink r:id="rId38" w:anchor="art93%C2%A72">
        <w:r>
          <w:rPr>
            <w:rFonts w:ascii="Arial" w:eastAsia="Arial" w:hAnsi="Arial" w:cs="Arial"/>
            <w:color w:val="000080"/>
            <w:sz w:val="22"/>
            <w:szCs w:val="22"/>
            <w:u w:val="single"/>
          </w:rPr>
          <w:t>do art. 93, §2º, da Lei nº 14.133, de 2021</w:t>
        </w:r>
      </w:hyperlink>
      <w:r>
        <w:rPr>
          <w:rFonts w:ascii="Arial" w:eastAsia="Arial" w:hAnsi="Arial" w:cs="Arial"/>
          <w:color w:val="000000"/>
          <w:sz w:val="22"/>
          <w:szCs w:val="22"/>
        </w:rPr>
        <w:t>.</w:t>
      </w:r>
    </w:p>
    <w:p w14:paraId="6AD39BE7"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4. Não responder por quaisquer compromissos assumidos pelo Contratado com terceiros, ainda que vinculados à execução do contrato, bem como por qualquer dano causado a terceiros em decorrência de ato do Contratado, de seus empregados, prepostos ou subordinados.</w:t>
      </w:r>
    </w:p>
    <w:p w14:paraId="5310D29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5. Realizar avaliações periódicas da qualidade dos serviços, após seu recebimento.</w:t>
      </w:r>
    </w:p>
    <w:p w14:paraId="476BFDCA"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FF0000"/>
          <w:sz w:val="22"/>
          <w:szCs w:val="22"/>
        </w:rPr>
      </w:pPr>
      <w:r>
        <w:rPr>
          <w:rFonts w:ascii="Arial" w:eastAsia="Arial" w:hAnsi="Arial" w:cs="Arial"/>
          <w:color w:val="000000"/>
          <w:sz w:val="22"/>
          <w:szCs w:val="22"/>
        </w:rPr>
        <w:t>11.</w:t>
      </w:r>
      <w:r>
        <w:rPr>
          <w:rFonts w:ascii="Arial" w:eastAsia="Arial" w:hAnsi="Arial" w:cs="Arial"/>
          <w:sz w:val="22"/>
          <w:szCs w:val="22"/>
        </w:rPr>
        <w:t>1</w:t>
      </w:r>
      <w:r>
        <w:rPr>
          <w:rFonts w:ascii="Arial" w:eastAsia="Arial" w:hAnsi="Arial" w:cs="Arial"/>
          <w:color w:val="000000"/>
          <w:sz w:val="22"/>
          <w:szCs w:val="22"/>
        </w:rPr>
        <w:t>6. Previamente à expedição da ordem de serviço, verificar pendências, liberar áreas e/ou adotar providências cabíveis para a regularidade do início da sua execução.</w:t>
      </w:r>
    </w:p>
    <w:p w14:paraId="14F40FCB" w14:textId="77777777" w:rsidR="00A622C3" w:rsidRDefault="00A622C3">
      <w:pPr>
        <w:pStyle w:val="Normal4"/>
        <w:widowControl/>
        <w:tabs>
          <w:tab w:val="left" w:pos="0"/>
        </w:tabs>
        <w:spacing w:line="360" w:lineRule="auto"/>
        <w:jc w:val="both"/>
        <w:rPr>
          <w:rFonts w:ascii="Arial" w:eastAsia="Arial" w:hAnsi="Arial" w:cs="Arial"/>
          <w:b/>
          <w:bCs/>
          <w:sz w:val="22"/>
          <w:szCs w:val="22"/>
        </w:rPr>
      </w:pPr>
    </w:p>
    <w:p w14:paraId="720E9750" w14:textId="77777777" w:rsidR="00A622C3" w:rsidRDefault="00263D7B">
      <w:pPr>
        <w:pStyle w:val="Normal4"/>
        <w:widowControl/>
        <w:tabs>
          <w:tab w:val="left" w:pos="0"/>
        </w:tabs>
        <w:spacing w:line="360" w:lineRule="auto"/>
        <w:jc w:val="both"/>
        <w:rPr>
          <w:rFonts w:ascii="Arial" w:eastAsia="Arial" w:hAnsi="Arial" w:cs="Arial"/>
          <w:b/>
          <w:bCs/>
          <w:color w:val="000000"/>
          <w:sz w:val="22"/>
          <w:szCs w:val="22"/>
        </w:rPr>
      </w:pPr>
      <w:r>
        <w:rPr>
          <w:rFonts w:ascii="Arial" w:eastAsia="Arial" w:hAnsi="Arial" w:cs="Arial"/>
          <w:b/>
          <w:bCs/>
          <w:color w:val="000000"/>
          <w:sz w:val="22"/>
          <w:szCs w:val="22"/>
        </w:rPr>
        <w:t>1</w:t>
      </w:r>
      <w:r>
        <w:rPr>
          <w:rFonts w:ascii="Arial" w:eastAsia="Arial" w:hAnsi="Arial" w:cs="Arial"/>
          <w:b/>
          <w:bCs/>
          <w:sz w:val="22"/>
          <w:szCs w:val="22"/>
        </w:rPr>
        <w:t>2</w:t>
      </w:r>
      <w:r>
        <w:rPr>
          <w:rFonts w:ascii="Arial" w:eastAsia="Arial" w:hAnsi="Arial" w:cs="Arial"/>
          <w:color w:val="000000"/>
          <w:sz w:val="22"/>
          <w:szCs w:val="22"/>
        </w:rPr>
        <w:t>.</w:t>
      </w:r>
      <w:r>
        <w:rPr>
          <w:rFonts w:ascii="Arial" w:eastAsia="Arial" w:hAnsi="Arial" w:cs="Arial"/>
          <w:b/>
          <w:bCs/>
          <w:color w:val="000000"/>
          <w:sz w:val="22"/>
          <w:szCs w:val="22"/>
        </w:rPr>
        <w:t xml:space="preserve"> REAJUSTE</w:t>
      </w:r>
    </w:p>
    <w:p w14:paraId="34CFDD96"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b/>
          <w:bCs/>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w:t>
      </w:r>
      <w:proofErr w:type="gramStart"/>
      <w:r>
        <w:rPr>
          <w:rFonts w:ascii="Arial" w:eastAsia="Arial" w:hAnsi="Arial" w:cs="Arial"/>
          <w:color w:val="000000"/>
          <w:sz w:val="22"/>
          <w:szCs w:val="22"/>
        </w:rPr>
        <w:t>1.Os</w:t>
      </w:r>
      <w:proofErr w:type="gramEnd"/>
      <w:r>
        <w:rPr>
          <w:rFonts w:ascii="Arial" w:eastAsia="Arial" w:hAnsi="Arial" w:cs="Arial"/>
          <w:color w:val="000000"/>
          <w:sz w:val="22"/>
          <w:szCs w:val="22"/>
        </w:rPr>
        <w:t xml:space="preserve"> preços inicialmente contratados são fixos e irreajustáveis no prazo de um ano contado da data do orçamento estimado,</w:t>
      </w:r>
      <w:r>
        <w:rPr>
          <w:rFonts w:ascii="Arial" w:eastAsia="Arial" w:hAnsi="Arial" w:cs="Arial"/>
          <w:sz w:val="22"/>
          <w:szCs w:val="22"/>
        </w:rPr>
        <w:t xml:space="preserve"> previsto no </w:t>
      </w:r>
      <w:r>
        <w:rPr>
          <w:rFonts w:ascii="Arial" w:eastAsia="Arial" w:hAnsi="Arial" w:cs="Arial"/>
          <w:b/>
          <w:bCs/>
          <w:sz w:val="22"/>
          <w:szCs w:val="22"/>
        </w:rPr>
        <w:t>Anexo II.</w:t>
      </w:r>
    </w:p>
    <w:p w14:paraId="25749158"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 xml:space="preserve">.2. Após o interregno de um ano, </w:t>
      </w:r>
      <w:r>
        <w:rPr>
          <w:rFonts w:ascii="Arial" w:eastAsia="Arial" w:hAnsi="Arial" w:cs="Arial"/>
          <w:sz w:val="22"/>
          <w:szCs w:val="22"/>
        </w:rPr>
        <w:t xml:space="preserve">a </w:t>
      </w:r>
      <w:r>
        <w:rPr>
          <w:rFonts w:ascii="Arial" w:eastAsia="Arial" w:hAnsi="Arial" w:cs="Arial"/>
          <w:b/>
          <w:bCs/>
          <w:color w:val="000000"/>
          <w:sz w:val="22"/>
          <w:szCs w:val="22"/>
        </w:rPr>
        <w:t>pedido do contratado</w:t>
      </w:r>
      <w:r>
        <w:rPr>
          <w:rFonts w:ascii="Arial" w:eastAsia="Arial" w:hAnsi="Arial" w:cs="Arial"/>
          <w:color w:val="000000"/>
          <w:sz w:val="22"/>
          <w:szCs w:val="22"/>
        </w:rPr>
        <w:t xml:space="preserve">, </w:t>
      </w:r>
      <w:r>
        <w:rPr>
          <w:rFonts w:ascii="Arial" w:eastAsia="Arial" w:hAnsi="Arial" w:cs="Arial"/>
          <w:b/>
          <w:bCs/>
          <w:color w:val="000000"/>
          <w:sz w:val="22"/>
          <w:szCs w:val="22"/>
        </w:rPr>
        <w:t xml:space="preserve">os preços </w:t>
      </w:r>
      <w:r>
        <w:rPr>
          <w:rFonts w:ascii="Arial" w:eastAsia="Arial" w:hAnsi="Arial" w:cs="Arial"/>
          <w:b/>
          <w:bCs/>
          <w:sz w:val="22"/>
          <w:szCs w:val="22"/>
        </w:rPr>
        <w:t>contratados/registrados</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serão reajustados, mediante a aplicação, pelo contratante, do índice </w:t>
      </w:r>
      <w:r>
        <w:rPr>
          <w:rFonts w:ascii="Arial" w:eastAsia="Arial" w:hAnsi="Arial" w:cs="Arial"/>
          <w:sz w:val="22"/>
          <w:szCs w:val="22"/>
        </w:rPr>
        <w:t>IPCA</w:t>
      </w:r>
      <w:r>
        <w:rPr>
          <w:rFonts w:ascii="Arial" w:eastAsia="Arial" w:hAnsi="Arial" w:cs="Arial"/>
          <w:color w:val="000000"/>
          <w:sz w:val="22"/>
          <w:szCs w:val="22"/>
        </w:rPr>
        <w:t>, exclusivamente para as obrigações iniciadas e concluídas após a ocorrência da anualidade.</w:t>
      </w:r>
    </w:p>
    <w:p w14:paraId="03F8AC3F"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.3. Nos reajustes subsequentes ao primeiro, o interregno mínimo de um ano será contado a partir dos efeitos financeiros do último reajuste.</w:t>
      </w:r>
    </w:p>
    <w:p w14:paraId="75F4A71A"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w:t>
      </w:r>
      <w:proofErr w:type="gramStart"/>
      <w:r>
        <w:rPr>
          <w:rFonts w:ascii="Arial" w:eastAsia="Arial" w:hAnsi="Arial" w:cs="Arial"/>
          <w:color w:val="000000"/>
          <w:sz w:val="22"/>
          <w:szCs w:val="22"/>
        </w:rPr>
        <w:t>4.No</w:t>
      </w:r>
      <w:proofErr w:type="gramEnd"/>
      <w:r>
        <w:rPr>
          <w:rFonts w:ascii="Arial" w:eastAsia="Arial" w:hAnsi="Arial" w:cs="Arial"/>
          <w:color w:val="000000"/>
          <w:sz w:val="22"/>
          <w:szCs w:val="22"/>
        </w:rPr>
        <w:t xml:space="preserve"> caso de atraso ou não divulgação do(s) índice (s) de reajustamento, o contratante pagará ao contratado a importância calculada pela última variação conhecida, liquidando a diferença correspondente tão logo seja(m) divulgado(s) o(s) índice(s) definitivo(s). </w:t>
      </w:r>
    </w:p>
    <w:p w14:paraId="45BB95D1"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.5. Nas aferições finais, o(s) índice(s) utilizado(s) para reajuste será(</w:t>
      </w:r>
      <w:proofErr w:type="spellStart"/>
      <w:r>
        <w:rPr>
          <w:rFonts w:ascii="Arial" w:eastAsia="Arial" w:hAnsi="Arial" w:cs="Arial"/>
          <w:color w:val="000000"/>
          <w:sz w:val="22"/>
          <w:szCs w:val="22"/>
        </w:rPr>
        <w:t>ão</w:t>
      </w:r>
      <w:proofErr w:type="spellEnd"/>
      <w:r>
        <w:rPr>
          <w:rFonts w:ascii="Arial" w:eastAsia="Arial" w:hAnsi="Arial" w:cs="Arial"/>
          <w:color w:val="000000"/>
          <w:sz w:val="22"/>
          <w:szCs w:val="22"/>
        </w:rPr>
        <w:t>), obrigatoriamente, o(s) definitivo(s).</w:t>
      </w:r>
    </w:p>
    <w:p w14:paraId="486F590E"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lastRenderedPageBreak/>
        <w:t>1</w:t>
      </w:r>
      <w:r>
        <w:rPr>
          <w:rFonts w:ascii="Arial" w:eastAsia="Arial" w:hAnsi="Arial" w:cs="Arial"/>
          <w:sz w:val="22"/>
          <w:szCs w:val="22"/>
        </w:rPr>
        <w:t>2</w:t>
      </w:r>
      <w:r>
        <w:rPr>
          <w:rFonts w:ascii="Arial" w:eastAsia="Arial" w:hAnsi="Arial" w:cs="Arial"/>
          <w:color w:val="000000"/>
          <w:sz w:val="22"/>
          <w:szCs w:val="22"/>
        </w:rPr>
        <w:t>.6. Caso o(s) índice(s) estabelecido(s) para reajustamento venha(m) a ser extinto(s) ou de qualquer forma não possa(m) mais ser utilizado(s), será(</w:t>
      </w:r>
      <w:proofErr w:type="spellStart"/>
      <w:r>
        <w:rPr>
          <w:rFonts w:ascii="Arial" w:eastAsia="Arial" w:hAnsi="Arial" w:cs="Arial"/>
          <w:color w:val="000000"/>
          <w:sz w:val="22"/>
          <w:szCs w:val="22"/>
        </w:rPr>
        <w:t>ão</w:t>
      </w:r>
      <w:proofErr w:type="spellEnd"/>
      <w:r>
        <w:rPr>
          <w:rFonts w:ascii="Arial" w:eastAsia="Arial" w:hAnsi="Arial" w:cs="Arial"/>
          <w:color w:val="000000"/>
          <w:sz w:val="22"/>
          <w:szCs w:val="22"/>
        </w:rPr>
        <w:t>) adotado(s), em substituição, o(s) que vier(em) a ser determinado(s) pela legislação então em vigor.</w:t>
      </w:r>
    </w:p>
    <w:p w14:paraId="72B837AA"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w:t>
      </w:r>
      <w:proofErr w:type="gramStart"/>
      <w:r>
        <w:rPr>
          <w:rFonts w:ascii="Arial" w:eastAsia="Arial" w:hAnsi="Arial" w:cs="Arial"/>
          <w:color w:val="000000"/>
          <w:sz w:val="22"/>
          <w:szCs w:val="22"/>
        </w:rPr>
        <w:t>7.Na</w:t>
      </w:r>
      <w:proofErr w:type="gramEnd"/>
      <w:r>
        <w:rPr>
          <w:rFonts w:ascii="Arial" w:eastAsia="Arial" w:hAnsi="Arial" w:cs="Arial"/>
          <w:color w:val="000000"/>
          <w:sz w:val="22"/>
          <w:szCs w:val="22"/>
        </w:rPr>
        <w:t xml:space="preserve"> ausência de previsão legal quanto ao índice substituto, as partes elegerão novo índice oficial, para reajustamento do preço do valor remanescente, por meio de termo aditivo. </w:t>
      </w:r>
    </w:p>
    <w:p w14:paraId="203C5CD6" w14:textId="77777777" w:rsidR="00A622C3" w:rsidRDefault="00263D7B">
      <w:pPr>
        <w:pStyle w:val="Normal4"/>
        <w:widowControl/>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sz w:val="22"/>
          <w:szCs w:val="22"/>
        </w:rPr>
        <w:t>12.8.</w:t>
      </w:r>
      <w:r>
        <w:rPr>
          <w:rFonts w:ascii="Arial" w:eastAsia="Arial" w:hAnsi="Arial" w:cs="Arial"/>
          <w:color w:val="000000"/>
          <w:sz w:val="22"/>
          <w:szCs w:val="22"/>
        </w:rPr>
        <w:t>O reajuste será realizado por apostilamento.</w:t>
      </w:r>
    </w:p>
    <w:p w14:paraId="46C23CC2" w14:textId="77777777" w:rsidR="00A622C3" w:rsidRDefault="00263D7B">
      <w:pPr>
        <w:pStyle w:val="Normal4"/>
        <w:widowControl/>
        <w:tabs>
          <w:tab w:val="left" w:pos="0"/>
        </w:tabs>
        <w:spacing w:line="360" w:lineRule="auto"/>
        <w:jc w:val="both"/>
        <w:rPr>
          <w:rFonts w:ascii="Arial" w:eastAsia="Arial" w:hAnsi="Arial" w:cs="Arial"/>
          <w:sz w:val="22"/>
          <w:szCs w:val="22"/>
        </w:rPr>
      </w:pPr>
      <w:r>
        <w:rPr>
          <w:rFonts w:ascii="Arial" w:eastAsia="Arial" w:hAnsi="Arial" w:cs="Arial"/>
          <w:sz w:val="22"/>
          <w:szCs w:val="22"/>
        </w:rPr>
        <w:t>12.9. A formalização do aditamento sem a concessão do reajuste ou ressalva de sua superveniente análise, será considerada como renúncia ou preclusão lógica.</w:t>
      </w:r>
    </w:p>
    <w:p w14:paraId="24A1AF1A" w14:textId="77777777" w:rsidR="00A622C3" w:rsidRDefault="00A622C3">
      <w:pPr>
        <w:pStyle w:val="Normal4"/>
        <w:widowControl/>
        <w:pBdr>
          <w:top w:val="nil"/>
          <w:left w:val="nil"/>
          <w:bottom w:val="nil"/>
          <w:right w:val="nil"/>
          <w:between w:val="nil"/>
        </w:pBdr>
        <w:spacing w:line="360" w:lineRule="auto"/>
        <w:jc w:val="both"/>
        <w:rPr>
          <w:rFonts w:ascii="Arial" w:eastAsia="Arial" w:hAnsi="Arial" w:cs="Arial"/>
          <w:sz w:val="22"/>
          <w:szCs w:val="22"/>
        </w:rPr>
      </w:pPr>
    </w:p>
    <w:p w14:paraId="69C73D01"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b/>
          <w:bCs/>
          <w:color w:val="000000"/>
          <w:sz w:val="22"/>
          <w:szCs w:val="22"/>
        </w:rPr>
        <w:t>1</w:t>
      </w:r>
      <w:r>
        <w:rPr>
          <w:rFonts w:ascii="Arial" w:eastAsia="Arial" w:hAnsi="Arial" w:cs="Arial"/>
          <w:b/>
          <w:bCs/>
          <w:sz w:val="22"/>
          <w:szCs w:val="22"/>
        </w:rPr>
        <w:t>3</w:t>
      </w:r>
      <w:r>
        <w:rPr>
          <w:rFonts w:ascii="Arial" w:eastAsia="Arial" w:hAnsi="Arial" w:cs="Arial"/>
          <w:b/>
          <w:bCs/>
          <w:color w:val="000000"/>
          <w:sz w:val="22"/>
          <w:szCs w:val="22"/>
        </w:rPr>
        <w:t>. SANÇÕES ADMINISTRATIVAS</w:t>
      </w:r>
    </w:p>
    <w:p w14:paraId="1B7C30EC" w14:textId="77777777" w:rsidR="00A622C3" w:rsidRDefault="00263D7B">
      <w:pPr>
        <w:pStyle w:val="Normal4"/>
        <w:tabs>
          <w:tab w:val="left" w:pos="0"/>
        </w:tabs>
        <w:spacing w:line="360" w:lineRule="auto"/>
        <w:ind w:right="274"/>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3</w:t>
      </w:r>
      <w:r>
        <w:rPr>
          <w:rFonts w:ascii="Arial" w:eastAsia="Arial" w:hAnsi="Arial" w:cs="Arial"/>
          <w:color w:val="000000"/>
          <w:sz w:val="22"/>
          <w:szCs w:val="22"/>
        </w:rPr>
        <w:t xml:space="preserve">.1.  Comete infração administrativa </w:t>
      </w:r>
      <w:r>
        <w:rPr>
          <w:rFonts w:ascii="Arial" w:eastAsia="Arial" w:hAnsi="Arial" w:cs="Arial"/>
          <w:sz w:val="22"/>
          <w:szCs w:val="22"/>
        </w:rPr>
        <w:t xml:space="preserve">o </w:t>
      </w:r>
      <w:r>
        <w:rPr>
          <w:rFonts w:ascii="Arial" w:eastAsia="Arial" w:hAnsi="Arial" w:cs="Arial"/>
          <w:color w:val="000000"/>
          <w:sz w:val="22"/>
          <w:szCs w:val="22"/>
        </w:rPr>
        <w:t>contratado que cometer quaisquer das infrações previstas no art. 155 da Lei nº 14.133, de 2021, quais sejam:</w:t>
      </w:r>
    </w:p>
    <w:p w14:paraId="066D943F" w14:textId="77777777" w:rsidR="00A622C3" w:rsidRDefault="00263D7B">
      <w:pPr>
        <w:pStyle w:val="Normal4"/>
        <w:tabs>
          <w:tab w:val="left" w:pos="0"/>
        </w:tabs>
        <w:spacing w:line="360" w:lineRule="auto"/>
        <w:ind w:right="274"/>
        <w:rPr>
          <w:rFonts w:ascii="Arial" w:eastAsia="Arial" w:hAnsi="Arial" w:cs="Arial"/>
          <w:color w:val="000000"/>
          <w:sz w:val="22"/>
          <w:szCs w:val="22"/>
        </w:rPr>
      </w:pPr>
      <w:r>
        <w:rPr>
          <w:rFonts w:ascii="Arial" w:eastAsia="Arial" w:hAnsi="Arial" w:cs="Arial"/>
          <w:sz w:val="22"/>
          <w:szCs w:val="22"/>
        </w:rPr>
        <w:t>a)</w:t>
      </w:r>
      <w:r>
        <w:rPr>
          <w:rFonts w:ascii="Arial" w:eastAsia="Arial" w:hAnsi="Arial" w:cs="Arial"/>
          <w:color w:val="000000"/>
          <w:sz w:val="22"/>
          <w:szCs w:val="22"/>
        </w:rPr>
        <w:t xml:space="preserve">  dar causa à inexecução parcial do contrato;</w:t>
      </w:r>
    </w:p>
    <w:p w14:paraId="34DCE571" w14:textId="77777777" w:rsidR="00A622C3" w:rsidRDefault="00263D7B">
      <w:pPr>
        <w:pStyle w:val="Normal4"/>
        <w:tabs>
          <w:tab w:val="left" w:pos="0"/>
        </w:tabs>
        <w:spacing w:line="360" w:lineRule="auto"/>
        <w:ind w:right="274"/>
        <w:jc w:val="both"/>
        <w:rPr>
          <w:rFonts w:ascii="Arial" w:eastAsia="Arial" w:hAnsi="Arial" w:cs="Arial"/>
          <w:color w:val="000000"/>
          <w:sz w:val="22"/>
          <w:szCs w:val="22"/>
        </w:rPr>
      </w:pPr>
      <w:r>
        <w:rPr>
          <w:rFonts w:ascii="Arial" w:eastAsia="Arial" w:hAnsi="Arial" w:cs="Arial"/>
          <w:sz w:val="22"/>
          <w:szCs w:val="22"/>
        </w:rPr>
        <w:t>b)</w:t>
      </w:r>
      <w:r>
        <w:rPr>
          <w:rFonts w:ascii="Arial" w:eastAsia="Arial" w:hAnsi="Arial" w:cs="Arial"/>
          <w:color w:val="000000"/>
          <w:sz w:val="22"/>
          <w:szCs w:val="22"/>
        </w:rPr>
        <w:t xml:space="preserve"> dar causa à inexecução parcial do contrato que cause grave dano à Administração, ao funcionamento dos serviços públicos ou ao interesse coletivo;</w:t>
      </w:r>
    </w:p>
    <w:p w14:paraId="195AEE81" w14:textId="77777777" w:rsidR="00A622C3" w:rsidRDefault="00263D7B">
      <w:pPr>
        <w:pStyle w:val="Normal4"/>
        <w:tabs>
          <w:tab w:val="left" w:pos="0"/>
        </w:tabs>
        <w:spacing w:line="360" w:lineRule="auto"/>
        <w:ind w:right="274"/>
        <w:rPr>
          <w:rFonts w:ascii="Arial" w:eastAsia="Arial" w:hAnsi="Arial" w:cs="Arial"/>
          <w:color w:val="000000"/>
          <w:sz w:val="22"/>
          <w:szCs w:val="22"/>
        </w:rPr>
      </w:pPr>
      <w:r>
        <w:rPr>
          <w:rFonts w:ascii="Arial" w:eastAsia="Arial" w:hAnsi="Arial" w:cs="Arial"/>
          <w:sz w:val="22"/>
          <w:szCs w:val="22"/>
        </w:rPr>
        <w:t xml:space="preserve">c) </w:t>
      </w:r>
      <w:r>
        <w:rPr>
          <w:rFonts w:ascii="Arial" w:eastAsia="Arial" w:hAnsi="Arial" w:cs="Arial"/>
          <w:color w:val="000000"/>
          <w:sz w:val="22"/>
          <w:szCs w:val="22"/>
        </w:rPr>
        <w:t>dar causa à inexecução total do contrato;</w:t>
      </w:r>
    </w:p>
    <w:p w14:paraId="507C8528" w14:textId="77777777" w:rsidR="00A622C3" w:rsidRDefault="00263D7B">
      <w:pPr>
        <w:pStyle w:val="Normal4"/>
        <w:spacing w:line="360" w:lineRule="auto"/>
        <w:jc w:val="both"/>
        <w:rPr>
          <w:rFonts w:ascii="Arial" w:eastAsia="Arial" w:hAnsi="Arial" w:cs="Arial"/>
          <w:color w:val="000000"/>
          <w:sz w:val="22"/>
          <w:szCs w:val="22"/>
        </w:rPr>
      </w:pPr>
      <w:r>
        <w:rPr>
          <w:rFonts w:ascii="Arial" w:eastAsia="Arial" w:hAnsi="Arial" w:cs="Arial"/>
          <w:sz w:val="22"/>
          <w:szCs w:val="22"/>
        </w:rPr>
        <w:t xml:space="preserve">d) </w:t>
      </w:r>
      <w:r>
        <w:rPr>
          <w:rFonts w:ascii="Arial" w:eastAsia="Arial" w:hAnsi="Arial" w:cs="Arial"/>
          <w:color w:val="000000"/>
          <w:sz w:val="22"/>
          <w:szCs w:val="22"/>
        </w:rPr>
        <w:t>ensejar o retardamento da execução ou da entrega do objeto da licitação sem motivo justificado;</w:t>
      </w:r>
    </w:p>
    <w:p w14:paraId="540D3582"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e)  apresentar documentação falsa ou prestar declaração falsa durante a execução do contrato;</w:t>
      </w:r>
    </w:p>
    <w:p w14:paraId="19CA9E3C" w14:textId="77777777" w:rsidR="00A622C3" w:rsidRDefault="00263D7B">
      <w:pPr>
        <w:pStyle w:val="Normal4"/>
        <w:spacing w:line="360" w:lineRule="auto"/>
        <w:jc w:val="both"/>
        <w:rPr>
          <w:rFonts w:ascii="Arial" w:eastAsia="Arial" w:hAnsi="Arial" w:cs="Arial"/>
          <w:color w:val="000000"/>
          <w:sz w:val="22"/>
          <w:szCs w:val="22"/>
        </w:rPr>
      </w:pPr>
      <w:r>
        <w:rPr>
          <w:rFonts w:ascii="Arial" w:eastAsia="Arial" w:hAnsi="Arial" w:cs="Arial"/>
          <w:sz w:val="22"/>
          <w:szCs w:val="22"/>
        </w:rPr>
        <w:t>f)</w:t>
      </w:r>
      <w:r>
        <w:rPr>
          <w:rFonts w:ascii="Arial" w:eastAsia="Arial" w:hAnsi="Arial" w:cs="Arial"/>
          <w:color w:val="000000"/>
          <w:sz w:val="22"/>
          <w:szCs w:val="22"/>
        </w:rPr>
        <w:t xml:space="preserve"> </w:t>
      </w:r>
      <w:r>
        <w:rPr>
          <w:rFonts w:ascii="Arial" w:eastAsia="Arial" w:hAnsi="Arial" w:cs="Arial"/>
          <w:sz w:val="22"/>
          <w:szCs w:val="22"/>
        </w:rPr>
        <w:t>praticar ato fraudulento na execução do contrato</w:t>
      </w:r>
      <w:r>
        <w:rPr>
          <w:rFonts w:ascii="Arial" w:eastAsia="Arial" w:hAnsi="Arial" w:cs="Arial"/>
          <w:color w:val="000000"/>
          <w:sz w:val="22"/>
          <w:szCs w:val="22"/>
        </w:rPr>
        <w:t>;</w:t>
      </w:r>
    </w:p>
    <w:p w14:paraId="0D252DC1" w14:textId="77777777" w:rsidR="00A622C3" w:rsidRDefault="00263D7B">
      <w:pPr>
        <w:pStyle w:val="Normal4"/>
        <w:spacing w:line="360" w:lineRule="auto"/>
        <w:jc w:val="both"/>
        <w:rPr>
          <w:rFonts w:ascii="Arial" w:eastAsia="Arial" w:hAnsi="Arial" w:cs="Arial"/>
          <w:color w:val="000000"/>
          <w:sz w:val="22"/>
          <w:szCs w:val="22"/>
        </w:rPr>
      </w:pPr>
      <w:r>
        <w:rPr>
          <w:rFonts w:ascii="Arial" w:eastAsia="Arial" w:hAnsi="Arial" w:cs="Arial"/>
          <w:sz w:val="22"/>
          <w:szCs w:val="22"/>
        </w:rPr>
        <w:t xml:space="preserve">g) </w:t>
      </w:r>
      <w:r>
        <w:rPr>
          <w:rFonts w:ascii="Arial" w:eastAsia="Arial" w:hAnsi="Arial" w:cs="Arial"/>
          <w:color w:val="000000"/>
          <w:sz w:val="22"/>
          <w:szCs w:val="22"/>
        </w:rPr>
        <w:t xml:space="preserve"> comportar-se de modo inidôneo ou cometer fraude de qualquer natureza;</w:t>
      </w:r>
    </w:p>
    <w:p w14:paraId="6659034D" w14:textId="77777777" w:rsidR="00A622C3" w:rsidRDefault="00263D7B">
      <w:pPr>
        <w:pStyle w:val="Normal4"/>
        <w:spacing w:line="360" w:lineRule="auto"/>
        <w:rPr>
          <w:rFonts w:ascii="Arial" w:eastAsia="Arial" w:hAnsi="Arial" w:cs="Arial"/>
          <w:color w:val="000000"/>
          <w:sz w:val="22"/>
          <w:szCs w:val="22"/>
        </w:rPr>
      </w:pPr>
      <w:r>
        <w:rPr>
          <w:rFonts w:ascii="Arial" w:eastAsia="Arial" w:hAnsi="Arial" w:cs="Arial"/>
          <w:sz w:val="22"/>
          <w:szCs w:val="22"/>
        </w:rPr>
        <w:t xml:space="preserve">h) </w:t>
      </w:r>
      <w:r>
        <w:rPr>
          <w:rFonts w:ascii="Arial" w:eastAsia="Arial" w:hAnsi="Arial" w:cs="Arial"/>
          <w:color w:val="000000"/>
          <w:sz w:val="22"/>
          <w:szCs w:val="22"/>
        </w:rPr>
        <w:t>praticar ato lesivo previsto no </w:t>
      </w:r>
      <w:hyperlink r:id="rId39" w:anchor="art5">
        <w:r>
          <w:rPr>
            <w:rFonts w:ascii="Arial" w:eastAsia="Arial" w:hAnsi="Arial" w:cs="Arial"/>
            <w:color w:val="000000"/>
            <w:sz w:val="22"/>
            <w:szCs w:val="22"/>
          </w:rPr>
          <w:t>art. 5º da Lei nº 12.846, de 1º de agosto de 2013.</w:t>
        </w:r>
      </w:hyperlink>
    </w:p>
    <w:p w14:paraId="7FE09808" w14:textId="77777777" w:rsidR="00A622C3" w:rsidRDefault="00263D7B">
      <w:pPr>
        <w:pStyle w:val="Normal4"/>
        <w:spacing w:line="360" w:lineRule="auto"/>
        <w:jc w:val="both"/>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3</w:t>
      </w:r>
      <w:r>
        <w:rPr>
          <w:rFonts w:ascii="Arial" w:eastAsia="Arial" w:hAnsi="Arial" w:cs="Arial"/>
          <w:color w:val="000000"/>
          <w:sz w:val="22"/>
          <w:szCs w:val="22"/>
        </w:rPr>
        <w:t xml:space="preserve">.2. </w:t>
      </w:r>
      <w:r>
        <w:rPr>
          <w:rFonts w:ascii="Arial" w:eastAsia="Arial" w:hAnsi="Arial" w:cs="Arial"/>
          <w:sz w:val="22"/>
          <w:szCs w:val="22"/>
        </w:rPr>
        <w:t>Serão aplicadas ao Contratado que incorrer nas infrações acima descritas as seguintes sanções</w:t>
      </w:r>
      <w:r>
        <w:rPr>
          <w:rFonts w:ascii="Arial" w:eastAsia="Arial" w:hAnsi="Arial" w:cs="Arial"/>
          <w:color w:val="000000"/>
          <w:sz w:val="22"/>
          <w:szCs w:val="22"/>
        </w:rPr>
        <w:t>:</w:t>
      </w:r>
    </w:p>
    <w:p w14:paraId="66355CCC" w14:textId="77777777" w:rsidR="00A622C3" w:rsidRDefault="00263D7B">
      <w:pPr>
        <w:pStyle w:val="Normal4"/>
        <w:pBdr>
          <w:top w:val="nil"/>
          <w:left w:val="nil"/>
          <w:bottom w:val="nil"/>
          <w:right w:val="nil"/>
          <w:between w:val="nil"/>
        </w:pBdr>
        <w:spacing w:line="360" w:lineRule="auto"/>
        <w:jc w:val="both"/>
        <w:rPr>
          <w:rFonts w:ascii="Arial" w:eastAsia="Arial" w:hAnsi="Arial" w:cs="Arial"/>
          <w:sz w:val="22"/>
          <w:szCs w:val="22"/>
        </w:rPr>
      </w:pPr>
      <w:r>
        <w:rPr>
          <w:rFonts w:ascii="Arial" w:eastAsia="Arial" w:hAnsi="Arial" w:cs="Arial"/>
          <w:sz w:val="22"/>
          <w:szCs w:val="22"/>
        </w:rPr>
        <w:t>a) Advertência, quando o Contratado der causa à inexecução parcial do contrato, sempre que não se justificar a imposição de penalidade mais grave;</w:t>
      </w:r>
    </w:p>
    <w:p w14:paraId="2835DB8C" w14:textId="77777777" w:rsidR="00A622C3" w:rsidRDefault="00263D7B">
      <w:pPr>
        <w:pStyle w:val="Normal4"/>
        <w:spacing w:line="360" w:lineRule="auto"/>
        <w:jc w:val="both"/>
        <w:rPr>
          <w:rFonts w:ascii="Arial" w:eastAsia="Arial" w:hAnsi="Arial" w:cs="Arial"/>
          <w:b/>
          <w:bCs/>
          <w:sz w:val="22"/>
          <w:szCs w:val="22"/>
        </w:rPr>
      </w:pPr>
      <w:r>
        <w:rPr>
          <w:rFonts w:ascii="Arial" w:eastAsia="Arial" w:hAnsi="Arial" w:cs="Arial"/>
          <w:b/>
          <w:bCs/>
          <w:sz w:val="22"/>
          <w:szCs w:val="22"/>
        </w:rPr>
        <w:t>Multa</w:t>
      </w:r>
    </w:p>
    <w:p w14:paraId="353450BE"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b)</w:t>
      </w:r>
      <w:r w:rsidR="007D00BA">
        <w:rPr>
          <w:rFonts w:ascii="Arial" w:eastAsia="Arial" w:hAnsi="Arial" w:cs="Arial"/>
          <w:b/>
          <w:bCs/>
          <w:sz w:val="22"/>
          <w:szCs w:val="22"/>
        </w:rPr>
        <w:t xml:space="preserve"> </w:t>
      </w:r>
      <w:r>
        <w:rPr>
          <w:rFonts w:ascii="Arial" w:eastAsia="Arial" w:hAnsi="Arial" w:cs="Arial"/>
          <w:sz w:val="22"/>
          <w:szCs w:val="22"/>
        </w:rPr>
        <w:t>Moratória de 0,2% (dois d</w:t>
      </w:r>
      <w:r w:rsidR="007D00BA">
        <w:rPr>
          <w:rFonts w:ascii="Arial" w:eastAsia="Arial" w:hAnsi="Arial" w:cs="Arial"/>
          <w:sz w:val="22"/>
          <w:szCs w:val="22"/>
        </w:rPr>
        <w:t xml:space="preserve">écimos por cento) por dia </w:t>
      </w:r>
      <w:r>
        <w:rPr>
          <w:rFonts w:ascii="Arial" w:eastAsia="Arial" w:hAnsi="Arial" w:cs="Arial"/>
          <w:sz w:val="22"/>
          <w:szCs w:val="22"/>
        </w:rPr>
        <w:t>de atraso, sobre o valor do item prejudicado, por infração da alínea “d” do subitem anterior, limitado a vinte dias. Após o vigésimo dia e a critério da Administração, poderá ser considerada inexecução total ou parcial do objeto.</w:t>
      </w:r>
    </w:p>
    <w:p w14:paraId="330A5C6B"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c) Compensatória 5% (dez por cento) sobre o valor contratado, quando praticada conduta descrita na alínea “a” do subitem anterior (inexecução parcial).</w:t>
      </w:r>
    </w:p>
    <w:p w14:paraId="2F885515"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d) Compensatória de 10% (vinte por cento) sobre o valor contratado,</w:t>
      </w:r>
      <w:r w:rsidR="007D00BA">
        <w:rPr>
          <w:rFonts w:ascii="Arial" w:eastAsia="Arial" w:hAnsi="Arial" w:cs="Arial"/>
          <w:sz w:val="22"/>
          <w:szCs w:val="22"/>
        </w:rPr>
        <w:t xml:space="preserve"> </w:t>
      </w:r>
      <w:r>
        <w:rPr>
          <w:rFonts w:ascii="Arial" w:eastAsia="Arial" w:hAnsi="Arial" w:cs="Arial"/>
          <w:sz w:val="22"/>
          <w:szCs w:val="22"/>
        </w:rPr>
        <w:t xml:space="preserve">quando praticada conduta descrita na alínea “b” do item anterior (inexecução parcial do contrato que cause </w:t>
      </w:r>
      <w:r>
        <w:rPr>
          <w:rFonts w:ascii="Arial" w:eastAsia="Arial" w:hAnsi="Arial" w:cs="Arial"/>
          <w:sz w:val="22"/>
          <w:szCs w:val="22"/>
        </w:rPr>
        <w:lastRenderedPageBreak/>
        <w:t>grave dano).</w:t>
      </w:r>
    </w:p>
    <w:p w14:paraId="1C34C2CD"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e) Compensatória 7% (sete por cento) sobre o valor </w:t>
      </w:r>
      <w:proofErr w:type="gramStart"/>
      <w:r>
        <w:rPr>
          <w:rFonts w:ascii="Arial" w:eastAsia="Arial" w:hAnsi="Arial" w:cs="Arial"/>
          <w:sz w:val="22"/>
          <w:szCs w:val="22"/>
        </w:rPr>
        <w:t>contratado ,</w:t>
      </w:r>
      <w:proofErr w:type="gramEnd"/>
      <w:r>
        <w:rPr>
          <w:rFonts w:ascii="Arial" w:eastAsia="Arial" w:hAnsi="Arial" w:cs="Arial"/>
          <w:sz w:val="22"/>
          <w:szCs w:val="22"/>
        </w:rPr>
        <w:t xml:space="preserve"> por infração da alínea “c” do subitem anterior (inexecução total do contrato).</w:t>
      </w:r>
    </w:p>
    <w:p w14:paraId="2F21E07B"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f) Compensatória de 5% (cinco por cento) sobre o valor do contrato, para as infrações descritas </w:t>
      </w:r>
      <w:proofErr w:type="gramStart"/>
      <w:r>
        <w:rPr>
          <w:rFonts w:ascii="Arial" w:eastAsia="Arial" w:hAnsi="Arial" w:cs="Arial"/>
          <w:sz w:val="22"/>
          <w:szCs w:val="22"/>
        </w:rPr>
        <w:t>na alíneas</w:t>
      </w:r>
      <w:proofErr w:type="gramEnd"/>
      <w:r>
        <w:rPr>
          <w:rFonts w:ascii="Arial" w:eastAsia="Arial" w:hAnsi="Arial" w:cs="Arial"/>
          <w:sz w:val="22"/>
          <w:szCs w:val="22"/>
        </w:rPr>
        <w:t xml:space="preserve"> “e” a “h” do subitem 13.1.</w:t>
      </w:r>
    </w:p>
    <w:p w14:paraId="41AD9664"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g) Compensatória, em substituição à multa moratória para a infração descrita na alínea “d” do subitem anterior, de 5% do valor da contratação.</w:t>
      </w:r>
    </w:p>
    <w:p w14:paraId="3B6F4DA6"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h) Impedimento de licitar e contratar, quando praticadas as condutas descritas nas alíneas “b”, “c” e “d” do subitem acima, sempre que não se justificar a imposição de penalidade mais grave;</w:t>
      </w:r>
    </w:p>
    <w:p w14:paraId="3802B28C"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i) Declaração de inidoneidade para licitar e contratar, quando praticadas as condutas descritas nas alíneas “e”, “f”, “g” e “h” do subitem acima, bem como nas alíneas “b”, “c” e “d”, que justifiquem a imposição de penalidade mais grave;</w:t>
      </w:r>
    </w:p>
    <w:p w14:paraId="5A886526"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13.3. Na aplicação das sanções serão considerados:</w:t>
      </w:r>
    </w:p>
    <w:p w14:paraId="3D9D36CD"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a) a natureza e a gravidade da infração cometida;</w:t>
      </w:r>
    </w:p>
    <w:p w14:paraId="534C21B3"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b) as peculiaridades do caso concreto;</w:t>
      </w:r>
    </w:p>
    <w:p w14:paraId="2AB5B7F4"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c) as circunstâncias agravantes ou atenuantes;</w:t>
      </w:r>
    </w:p>
    <w:p w14:paraId="185EE302"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d) os danos que dela provierem para a Administração Pública;</w:t>
      </w:r>
    </w:p>
    <w:p w14:paraId="0B3795A0"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e) a implantação ou o aperfeiçoamento de programa de integridade, conforme normas e orientações dos órgãos de controle.</w:t>
      </w:r>
    </w:p>
    <w:p w14:paraId="6E73E30E"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13.4.     A aplicação das sanções previstas neste Contrato não exclui, em hipótese alguma, a obrigação de reparação integral do dano causado ao Contratante.</w:t>
      </w:r>
    </w:p>
    <w:p w14:paraId="6EDA784F"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w:t>
      </w:r>
      <w:proofErr w:type="gramStart"/>
      <w:r>
        <w:rPr>
          <w:rFonts w:ascii="Arial" w:eastAsia="Arial" w:hAnsi="Arial" w:cs="Arial"/>
          <w:sz w:val="22"/>
          <w:szCs w:val="22"/>
        </w:rPr>
        <w:t>5.Todas</w:t>
      </w:r>
      <w:proofErr w:type="gramEnd"/>
      <w:r>
        <w:rPr>
          <w:rFonts w:ascii="Arial" w:eastAsia="Arial" w:hAnsi="Arial" w:cs="Arial"/>
          <w:sz w:val="22"/>
          <w:szCs w:val="22"/>
        </w:rPr>
        <w:t xml:space="preserve"> as sanções previstas neste Termo de Referência poderão ser aplicadas cumulativamente com a multa.</w:t>
      </w:r>
    </w:p>
    <w:p w14:paraId="4E466203"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13.6. Antes da aplicação da multa será facultada a defesa do interessado no prazo de 15 (quinze) dias úteis, contado da data de sua intimação.</w:t>
      </w:r>
    </w:p>
    <w:p w14:paraId="7D2AFBE8"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13.7. Se a multa aplicada e as indenizações cabíveis forem superiores ao valor do pagamento eventualmente devido pelo Contratante ao Contratado, além da perda desse valor, a diferença será descontada da garantia prestada ou será cobrada </w:t>
      </w:r>
      <w:proofErr w:type="gramStart"/>
      <w:r>
        <w:rPr>
          <w:rFonts w:ascii="Arial" w:eastAsia="Arial" w:hAnsi="Arial" w:cs="Arial"/>
          <w:sz w:val="22"/>
          <w:szCs w:val="22"/>
        </w:rPr>
        <w:t>judicialmente .</w:t>
      </w:r>
      <w:proofErr w:type="gramEnd"/>
    </w:p>
    <w:p w14:paraId="750EE5EB" w14:textId="77777777" w:rsidR="00A622C3" w:rsidRDefault="00263D7B">
      <w:pPr>
        <w:pStyle w:val="Normal4"/>
        <w:spacing w:line="360" w:lineRule="auto"/>
        <w:jc w:val="both"/>
        <w:rPr>
          <w:rFonts w:ascii="Arial" w:eastAsia="Arial" w:hAnsi="Arial" w:cs="Arial"/>
          <w:sz w:val="22"/>
          <w:szCs w:val="22"/>
          <w:highlight w:val="yellow"/>
        </w:rPr>
      </w:pPr>
      <w:r>
        <w:rPr>
          <w:rFonts w:ascii="Arial" w:eastAsia="Arial" w:hAnsi="Arial" w:cs="Arial"/>
          <w:sz w:val="22"/>
          <w:szCs w:val="22"/>
        </w:rPr>
        <w:t xml:space="preserve">13.8. A multa poderá ser recolhida administrativamente no prazo máximo de 30 (trinta) dias, a contar da data do recebimento da comunicação enviada pela autoridade competente. </w:t>
      </w:r>
    </w:p>
    <w:p w14:paraId="57976547"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13.9. </w:t>
      </w:r>
      <w:r>
        <w:rPr>
          <w:sz w:val="14"/>
          <w:szCs w:val="14"/>
        </w:rPr>
        <w:t xml:space="preserve">  </w:t>
      </w:r>
      <w:r>
        <w:rPr>
          <w:rFonts w:ascii="Arial" w:eastAsia="Arial" w:hAnsi="Arial" w:cs="Arial"/>
          <w:sz w:val="22"/>
          <w:szCs w:val="22"/>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661526D6"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13.10. Para a garantia da ampla defesa e contraditório, as notificações serão enviadas eletronicamente para os endereços de e-mail informados na proposta comercial, bem como </w:t>
      </w:r>
      <w:r>
        <w:rPr>
          <w:rFonts w:ascii="Arial" w:eastAsia="Arial" w:hAnsi="Arial" w:cs="Arial"/>
          <w:sz w:val="22"/>
          <w:szCs w:val="22"/>
        </w:rPr>
        <w:lastRenderedPageBreak/>
        <w:t>os cadastrados pela empresa no SICAF.</w:t>
      </w:r>
    </w:p>
    <w:p w14:paraId="547FDBF9"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13.11.  Os endereços de e-mail informados na proposta comercial e/ou cadastrados no SICAF serão considerados de uso contínuo da empresa, não cabendo alegação de desconhecimento das comunicações a eles comprovadamente enviadas/recebidas.</w:t>
      </w:r>
    </w:p>
    <w:p w14:paraId="4826BF71"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13.12.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118B1FAE"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13.13. 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214B1095"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 xml:space="preserve">13.14. </w:t>
      </w:r>
      <w:r>
        <w:rPr>
          <w:sz w:val="22"/>
          <w:szCs w:val="22"/>
        </w:rPr>
        <w:t xml:space="preserve"> </w:t>
      </w:r>
      <w:r>
        <w:rPr>
          <w:rFonts w:ascii="Arial" w:eastAsia="Arial" w:hAnsi="Arial" w:cs="Arial"/>
          <w:sz w:val="22"/>
          <w:szCs w:val="22"/>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57C7EAB6"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13.15. As penalidades serão obrigatoriamente registradas no SICAF.</w:t>
      </w:r>
    </w:p>
    <w:p w14:paraId="2B842601"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13.16.   As sanções de impedimento de licitar e contratar e declaração de inidoneidade para licitar ou contratar são passíveis de reabilitação na forma do art. 163 da Lei nº 14.133, de 2021.</w:t>
      </w:r>
    </w:p>
    <w:p w14:paraId="07B2BEB2" w14:textId="77777777" w:rsidR="00A622C3" w:rsidRDefault="00263D7B">
      <w:pPr>
        <w:pStyle w:val="Normal4"/>
        <w:spacing w:line="360" w:lineRule="auto"/>
        <w:jc w:val="both"/>
        <w:rPr>
          <w:rFonts w:ascii="Arial" w:eastAsia="Arial" w:hAnsi="Arial" w:cs="Arial"/>
          <w:sz w:val="22"/>
          <w:szCs w:val="22"/>
        </w:rPr>
      </w:pPr>
      <w:r>
        <w:rPr>
          <w:rFonts w:ascii="Arial" w:eastAsia="Arial" w:hAnsi="Arial" w:cs="Arial"/>
          <w:sz w:val="22"/>
          <w:szCs w:val="22"/>
        </w:rPr>
        <w:t>13.17.   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Normativa SEGES/ME nº 26, de 13 de abril de 2022.</w:t>
      </w:r>
    </w:p>
    <w:p w14:paraId="6F4A6D55" w14:textId="77777777" w:rsidR="00A622C3" w:rsidRDefault="00A622C3">
      <w:pPr>
        <w:pStyle w:val="Normal4"/>
        <w:spacing w:line="360" w:lineRule="auto"/>
        <w:jc w:val="both"/>
        <w:rPr>
          <w:rFonts w:ascii="Arial" w:eastAsia="Arial" w:hAnsi="Arial" w:cs="Arial"/>
          <w:color w:val="000000"/>
          <w:sz w:val="22"/>
          <w:szCs w:val="22"/>
        </w:rPr>
      </w:pPr>
    </w:p>
    <w:p w14:paraId="15513856" w14:textId="77777777" w:rsidR="00A622C3" w:rsidRDefault="00263D7B">
      <w:pPr>
        <w:pStyle w:val="Normal4"/>
        <w:widowControl/>
        <w:tabs>
          <w:tab w:val="left" w:pos="0"/>
        </w:tabs>
        <w:spacing w:line="360" w:lineRule="auto"/>
        <w:ind w:right="-60"/>
        <w:jc w:val="both"/>
        <w:rPr>
          <w:rFonts w:ascii="Arial" w:eastAsia="Arial" w:hAnsi="Arial" w:cs="Arial"/>
          <w:b/>
          <w:bCs/>
          <w:sz w:val="22"/>
          <w:szCs w:val="22"/>
          <w:highlight w:val="white"/>
        </w:rPr>
      </w:pPr>
      <w:r>
        <w:rPr>
          <w:rFonts w:ascii="Arial" w:eastAsia="Arial" w:hAnsi="Arial" w:cs="Arial"/>
          <w:b/>
          <w:bCs/>
          <w:sz w:val="22"/>
          <w:szCs w:val="22"/>
          <w:highlight w:val="white"/>
        </w:rPr>
        <w:t>14. DA PROTEÇÃO DE DADOS PESSOAIS - Lei nº 13.709/2018 - LGPD</w:t>
      </w:r>
    </w:p>
    <w:p w14:paraId="67EB08CA"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14.1.</w:t>
      </w:r>
      <w:r>
        <w:rPr>
          <w:rFonts w:ascii="Arial" w:eastAsia="Arial" w:hAnsi="Arial" w:cs="Arial"/>
          <w:b/>
          <w:bCs/>
          <w:sz w:val="22"/>
          <w:szCs w:val="22"/>
          <w:highlight w:val="white"/>
        </w:rPr>
        <w:t xml:space="preserve"> </w:t>
      </w:r>
      <w:r>
        <w:rPr>
          <w:rFonts w:ascii="Arial" w:eastAsia="Arial" w:hAnsi="Arial" w:cs="Arial"/>
          <w:sz w:val="22"/>
          <w:szCs w:val="22"/>
          <w:highlight w:val="white"/>
        </w:rPr>
        <w:t xml:space="preserve">As partes deverão cumprir a Lei nº 13.709, de 14 de agosto de 2018 (LGPD), quanto a todos os dados pessoais a que tenham acesso em razão da licitação ou da contratação, a </w:t>
      </w:r>
      <w:r>
        <w:rPr>
          <w:rFonts w:ascii="Arial" w:eastAsia="Arial" w:hAnsi="Arial" w:cs="Arial"/>
          <w:sz w:val="22"/>
          <w:szCs w:val="22"/>
          <w:highlight w:val="white"/>
        </w:rPr>
        <w:lastRenderedPageBreak/>
        <w:t>partir da apresentação da proposta no certame, independentemente de declaração ou de aceitação expressa.</w:t>
      </w:r>
    </w:p>
    <w:p w14:paraId="3EBD2D83"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 xml:space="preserve">14.2. </w:t>
      </w:r>
      <w:r>
        <w:rPr>
          <w:rFonts w:ascii="Arial" w:eastAsia="Arial" w:hAnsi="Arial" w:cs="Arial"/>
          <w:sz w:val="14"/>
          <w:szCs w:val="14"/>
          <w:highlight w:val="white"/>
        </w:rPr>
        <w:t xml:space="preserve"> </w:t>
      </w:r>
      <w:r>
        <w:rPr>
          <w:rFonts w:ascii="Arial" w:eastAsia="Arial" w:hAnsi="Arial" w:cs="Arial"/>
          <w:sz w:val="22"/>
          <w:szCs w:val="22"/>
          <w:highlight w:val="white"/>
        </w:rPr>
        <w:t>Os dados obtidos somente poderão ser utilizados para as finalidades que justificaram seu acesso e de acordo com a boa-fé e com os princípios do art. 6º da LGPD.</w:t>
      </w:r>
    </w:p>
    <w:p w14:paraId="7A87C54A" w14:textId="77777777" w:rsidR="00A622C3" w:rsidRDefault="00263D7B">
      <w:pPr>
        <w:pStyle w:val="Normal4"/>
        <w:widowControl/>
        <w:tabs>
          <w:tab w:val="left" w:pos="0"/>
        </w:tabs>
        <w:spacing w:line="360" w:lineRule="auto"/>
        <w:jc w:val="both"/>
        <w:rPr>
          <w:rFonts w:ascii="Arial" w:eastAsia="Arial" w:hAnsi="Arial" w:cs="Arial"/>
          <w:sz w:val="22"/>
          <w:szCs w:val="22"/>
        </w:rPr>
      </w:pPr>
      <w:r>
        <w:rPr>
          <w:rFonts w:ascii="Arial" w:eastAsia="Arial" w:hAnsi="Arial" w:cs="Arial"/>
          <w:sz w:val="22"/>
          <w:szCs w:val="22"/>
          <w:highlight w:val="white"/>
        </w:rPr>
        <w:t xml:space="preserve">14.3. É vedado o compartilhamento com terceiros dos dados obtidos fora das hipóteses </w:t>
      </w:r>
      <w:r>
        <w:rPr>
          <w:rFonts w:ascii="Arial" w:eastAsia="Arial" w:hAnsi="Arial" w:cs="Arial"/>
          <w:sz w:val="22"/>
          <w:szCs w:val="22"/>
        </w:rPr>
        <w:t>permitidas em Lei.</w:t>
      </w:r>
    </w:p>
    <w:p w14:paraId="45A8ABC2" w14:textId="77777777" w:rsidR="00A622C3" w:rsidRDefault="00263D7B">
      <w:pPr>
        <w:pStyle w:val="Normal4"/>
        <w:widowControl/>
        <w:tabs>
          <w:tab w:val="left" w:pos="0"/>
        </w:tabs>
        <w:spacing w:line="360" w:lineRule="auto"/>
        <w:jc w:val="both"/>
        <w:rPr>
          <w:rFonts w:ascii="Arial" w:eastAsia="Arial" w:hAnsi="Arial" w:cs="Arial"/>
          <w:sz w:val="22"/>
          <w:szCs w:val="22"/>
        </w:rPr>
      </w:pPr>
      <w:r>
        <w:rPr>
          <w:rFonts w:ascii="Arial" w:eastAsia="Arial" w:hAnsi="Arial" w:cs="Arial"/>
          <w:sz w:val="22"/>
          <w:szCs w:val="22"/>
        </w:rPr>
        <w:t>14.4. A Administração deverá ser informada no prazo de 5 (cinco) dias úteis sobre todos os contratos de suboperação firmados ou que venham a ser celebrados pelo Contratado.</w:t>
      </w:r>
    </w:p>
    <w:p w14:paraId="72D1FF53"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14.5. 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w:t>
      </w:r>
    </w:p>
    <w:p w14:paraId="7D3D08C9"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 xml:space="preserve">14.6. </w:t>
      </w:r>
      <w:r>
        <w:rPr>
          <w:rFonts w:ascii="Arial" w:eastAsia="Arial" w:hAnsi="Arial" w:cs="Arial"/>
          <w:sz w:val="14"/>
          <w:szCs w:val="14"/>
          <w:highlight w:val="white"/>
        </w:rPr>
        <w:t xml:space="preserve"> </w:t>
      </w:r>
      <w:r>
        <w:rPr>
          <w:rFonts w:ascii="Arial" w:eastAsia="Arial" w:hAnsi="Arial" w:cs="Arial"/>
          <w:sz w:val="22"/>
          <w:szCs w:val="22"/>
          <w:highlight w:val="white"/>
        </w:rPr>
        <w:t xml:space="preserve">É dever do Contratado orientar e treinar seus empregados sobre os deveres, requisitos e responsabilidades decorrentes da LGPD. </w:t>
      </w:r>
    </w:p>
    <w:p w14:paraId="29870E1E"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14.7. O Contratado deverá exigir de suboperadores e subcontratados o cumprimento dos deveres da presente cláusula, permanecendo integralmente responsável por garantir sua observância.</w:t>
      </w:r>
    </w:p>
    <w:p w14:paraId="3D355B8E"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14.8.</w:t>
      </w:r>
      <w:r>
        <w:rPr>
          <w:rFonts w:ascii="Arial" w:eastAsia="Arial" w:hAnsi="Arial" w:cs="Arial"/>
          <w:sz w:val="14"/>
          <w:szCs w:val="14"/>
          <w:highlight w:val="white"/>
        </w:rPr>
        <w:t xml:space="preserve"> </w:t>
      </w:r>
      <w:r>
        <w:rPr>
          <w:rFonts w:ascii="Arial" w:eastAsia="Arial" w:hAnsi="Arial" w:cs="Arial"/>
          <w:sz w:val="22"/>
          <w:szCs w:val="22"/>
          <w:highlight w:val="white"/>
        </w:rPr>
        <w:t xml:space="preserve">O Contratante poderá realizar diligência para aferir o cumprimento dessa cláusula, devendo o Contratado atender prontamente eventuais pedidos de comprovação formulados. </w:t>
      </w:r>
    </w:p>
    <w:p w14:paraId="43063B71"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14.9.</w:t>
      </w:r>
      <w:r>
        <w:rPr>
          <w:rFonts w:ascii="Arial" w:eastAsia="Arial" w:hAnsi="Arial" w:cs="Arial"/>
          <w:sz w:val="14"/>
          <w:szCs w:val="14"/>
          <w:highlight w:val="white"/>
        </w:rPr>
        <w:t xml:space="preserve"> </w:t>
      </w:r>
      <w:r>
        <w:rPr>
          <w:rFonts w:ascii="Arial" w:eastAsia="Arial" w:hAnsi="Arial" w:cs="Arial"/>
          <w:sz w:val="22"/>
          <w:szCs w:val="22"/>
          <w:highlight w:val="white"/>
        </w:rPr>
        <w:t>O Contratado deverá prestar, no prazo fixado pelo Contratante, prorrogável justificadamente, quaisquer informações acerca dos dados pessoais para cumprimento da LGPD, inclusive quanto a eventual descarte realizado.</w:t>
      </w:r>
    </w:p>
    <w:p w14:paraId="61232442" w14:textId="77777777" w:rsidR="00A622C3" w:rsidRDefault="00263D7B">
      <w:pPr>
        <w:pStyle w:val="Normal4"/>
        <w:widowControl/>
        <w:tabs>
          <w:tab w:val="left" w:pos="0"/>
        </w:tabs>
        <w:spacing w:line="360" w:lineRule="auto"/>
        <w:jc w:val="both"/>
        <w:rPr>
          <w:rFonts w:ascii="Arial" w:eastAsia="Arial" w:hAnsi="Arial" w:cs="Arial"/>
          <w:sz w:val="22"/>
          <w:szCs w:val="22"/>
          <w:highlight w:val="white"/>
        </w:rPr>
      </w:pPr>
      <w:r>
        <w:rPr>
          <w:rFonts w:ascii="Arial" w:eastAsia="Arial" w:hAnsi="Arial" w:cs="Arial"/>
          <w:sz w:val="22"/>
          <w:szCs w:val="22"/>
          <w:highlight w:val="white"/>
        </w:rPr>
        <w:t>14.10.</w:t>
      </w:r>
      <w:r>
        <w:rPr>
          <w:rFonts w:ascii="Arial" w:eastAsia="Arial" w:hAnsi="Arial" w:cs="Arial"/>
          <w:sz w:val="14"/>
          <w:szCs w:val="14"/>
          <w:highlight w:val="white"/>
        </w:rPr>
        <w:t xml:space="preserve"> </w:t>
      </w:r>
      <w:r>
        <w:rPr>
          <w:rFonts w:ascii="Arial" w:eastAsia="Arial" w:hAnsi="Arial" w:cs="Arial"/>
          <w:sz w:val="22"/>
          <w:szCs w:val="22"/>
          <w:highlight w:val="white"/>
        </w:rPr>
        <w:t>Os referidos bancos de dados devem ser desenvolvidos em formato interoperável, a fim de garantir a reutilização desses dados pela Administração nas hipóteses previstas na LGPD.</w:t>
      </w:r>
    </w:p>
    <w:p w14:paraId="1C32D963" w14:textId="77777777" w:rsidR="00A622C3" w:rsidRDefault="00263D7B">
      <w:pPr>
        <w:pStyle w:val="Normal4"/>
        <w:widowControl/>
        <w:tabs>
          <w:tab w:val="left" w:pos="0"/>
        </w:tabs>
        <w:spacing w:line="360" w:lineRule="auto"/>
        <w:jc w:val="both"/>
        <w:rPr>
          <w:rFonts w:ascii="Arial" w:eastAsia="Arial" w:hAnsi="Arial" w:cs="Arial"/>
          <w:sz w:val="22"/>
          <w:szCs w:val="22"/>
        </w:rPr>
      </w:pPr>
      <w:r>
        <w:rPr>
          <w:rFonts w:ascii="Arial" w:eastAsia="Arial" w:hAnsi="Arial" w:cs="Arial"/>
          <w:sz w:val="22"/>
          <w:szCs w:val="22"/>
          <w:highlight w:val="white"/>
        </w:rPr>
        <w:t>14.11. O presente instrumento está sujeito a ser alterado nos procedimentos pertinentes ao tratamento de dados pessoais, quando indicado pela autoridade competente, em especial a ANPD por meio de opiniões técnicas ou recomendações, editadas na forma da LGPD.</w:t>
      </w:r>
    </w:p>
    <w:p w14:paraId="65CA6389" w14:textId="77777777" w:rsidR="00A622C3" w:rsidRDefault="00263D7B">
      <w:pPr>
        <w:pStyle w:val="Normal4"/>
        <w:widowControl/>
        <w:tabs>
          <w:tab w:val="left" w:pos="0"/>
        </w:tabs>
        <w:spacing w:line="360" w:lineRule="auto"/>
        <w:ind w:right="284"/>
        <w:jc w:val="both"/>
        <w:rPr>
          <w:rFonts w:ascii="Arial" w:eastAsia="Arial" w:hAnsi="Arial" w:cs="Arial"/>
          <w:b/>
          <w:bCs/>
          <w:sz w:val="22"/>
          <w:szCs w:val="22"/>
        </w:rPr>
      </w:pPr>
      <w:r>
        <w:rPr>
          <w:rFonts w:ascii="Arial" w:eastAsia="Arial" w:hAnsi="Arial" w:cs="Arial"/>
          <w:sz w:val="22"/>
          <w:szCs w:val="22"/>
        </w:rPr>
        <w:t>15</w:t>
      </w:r>
      <w:r>
        <w:rPr>
          <w:rFonts w:ascii="Arial" w:eastAsia="Arial" w:hAnsi="Arial" w:cs="Arial"/>
          <w:b/>
          <w:bCs/>
          <w:sz w:val="22"/>
          <w:szCs w:val="22"/>
        </w:rPr>
        <w:t xml:space="preserve">. VALOR ESTIMADO DA AQUISIÇÃO: </w:t>
      </w:r>
      <w:r>
        <w:rPr>
          <w:rFonts w:ascii="Arial" w:eastAsia="Arial" w:hAnsi="Arial" w:cs="Arial"/>
          <w:sz w:val="22"/>
          <w:szCs w:val="22"/>
        </w:rPr>
        <w:t>Conforme anexo I.</w:t>
      </w:r>
    </w:p>
    <w:p w14:paraId="20595DEE" w14:textId="77777777" w:rsidR="00A622C3" w:rsidRDefault="00263D7B">
      <w:pPr>
        <w:pStyle w:val="Normal4"/>
        <w:widowControl/>
        <w:tabs>
          <w:tab w:val="left" w:pos="0"/>
        </w:tabs>
        <w:spacing w:line="360" w:lineRule="auto"/>
        <w:ind w:right="284"/>
        <w:jc w:val="both"/>
        <w:rPr>
          <w:rFonts w:ascii="Arial" w:eastAsia="Arial" w:hAnsi="Arial" w:cs="Arial"/>
          <w:b/>
          <w:bCs/>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.1. No preço ofertado deverão estar inclusas todas as despesas, bem como todos os tributos, fretes, seguros e demais encargos necessários à completa execução do objeto.</w:t>
      </w:r>
    </w:p>
    <w:p w14:paraId="1F75412A"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 xml:space="preserve">.2. </w:t>
      </w:r>
      <w:r>
        <w:rPr>
          <w:rFonts w:ascii="Arial" w:eastAsia="Arial" w:hAnsi="Arial" w:cs="Arial"/>
          <w:b/>
          <w:bCs/>
          <w:color w:val="000000"/>
          <w:sz w:val="22"/>
          <w:szCs w:val="22"/>
        </w:rPr>
        <w:t>Critérios de aceitabilidade de preços:</w:t>
      </w:r>
      <w:r>
        <w:rPr>
          <w:rFonts w:ascii="Arial" w:eastAsia="Arial" w:hAnsi="Arial" w:cs="Arial"/>
          <w:b/>
          <w:bCs/>
          <w:sz w:val="22"/>
          <w:szCs w:val="22"/>
        </w:rPr>
        <w:t xml:space="preserve"> </w:t>
      </w:r>
      <w:r>
        <w:rPr>
          <w:rFonts w:ascii="Arial" w:eastAsia="Arial" w:hAnsi="Arial" w:cs="Arial"/>
          <w:color w:val="000000"/>
          <w:sz w:val="22"/>
          <w:szCs w:val="22"/>
        </w:rPr>
        <w:t>Os preços estimados, tanto unitário como global, correspondem aos máximos que este Tribunal se dispõe a pagar, de forma que as propostas com valores superiores serão desclassificadas.</w:t>
      </w:r>
    </w:p>
    <w:p w14:paraId="7051A998" w14:textId="77777777" w:rsidR="00A622C3" w:rsidRDefault="00A622C3">
      <w:pPr>
        <w:pStyle w:val="Normal4"/>
        <w:widowControl/>
        <w:tabs>
          <w:tab w:val="left" w:pos="0"/>
        </w:tabs>
        <w:spacing w:line="360" w:lineRule="auto"/>
        <w:ind w:right="284"/>
        <w:jc w:val="both"/>
        <w:rPr>
          <w:rFonts w:ascii="Arial" w:eastAsia="Arial" w:hAnsi="Arial" w:cs="Arial"/>
          <w:sz w:val="22"/>
          <w:szCs w:val="22"/>
        </w:rPr>
      </w:pPr>
    </w:p>
    <w:p w14:paraId="07E4150C" w14:textId="77777777" w:rsidR="00A622C3" w:rsidRDefault="00263D7B">
      <w:pPr>
        <w:pStyle w:val="Normal4"/>
        <w:widowControl/>
        <w:tabs>
          <w:tab w:val="left" w:pos="0"/>
        </w:tabs>
        <w:spacing w:line="360" w:lineRule="auto"/>
        <w:ind w:right="284"/>
        <w:jc w:val="both"/>
        <w:rPr>
          <w:rFonts w:ascii="Arial" w:eastAsia="Arial" w:hAnsi="Arial" w:cs="Arial"/>
          <w:color w:val="000000"/>
          <w:sz w:val="22"/>
          <w:szCs w:val="22"/>
        </w:rPr>
      </w:pPr>
      <w:r>
        <w:rPr>
          <w:rFonts w:ascii="Arial" w:eastAsia="Arial" w:hAnsi="Arial" w:cs="Arial"/>
          <w:color w:val="000000"/>
          <w:sz w:val="22"/>
          <w:szCs w:val="22"/>
        </w:rPr>
        <w:lastRenderedPageBreak/>
        <w:t>1</w:t>
      </w:r>
      <w:r>
        <w:rPr>
          <w:rFonts w:ascii="Arial" w:eastAsia="Arial" w:hAnsi="Arial" w:cs="Arial"/>
          <w:sz w:val="22"/>
          <w:szCs w:val="22"/>
        </w:rPr>
        <w:t>6</w:t>
      </w:r>
      <w:r>
        <w:rPr>
          <w:rFonts w:ascii="Arial" w:eastAsia="Arial" w:hAnsi="Arial" w:cs="Arial"/>
          <w:color w:val="000000"/>
          <w:sz w:val="22"/>
          <w:szCs w:val="22"/>
        </w:rPr>
        <w:t>.</w:t>
      </w:r>
      <w:r>
        <w:rPr>
          <w:rFonts w:ascii="Arial" w:eastAsia="Arial" w:hAnsi="Arial" w:cs="Arial"/>
          <w:b/>
          <w:bCs/>
          <w:color w:val="000000"/>
          <w:sz w:val="22"/>
          <w:szCs w:val="22"/>
        </w:rPr>
        <w:t xml:space="preserve"> IMPACTO </w:t>
      </w:r>
      <w:proofErr w:type="gramStart"/>
      <w:r>
        <w:rPr>
          <w:rFonts w:ascii="Arial" w:eastAsia="Arial" w:hAnsi="Arial" w:cs="Arial"/>
          <w:b/>
          <w:bCs/>
          <w:color w:val="000000"/>
          <w:sz w:val="22"/>
          <w:szCs w:val="22"/>
        </w:rPr>
        <w:t>ORÇAMENTÁRIO</w:t>
      </w:r>
      <w:r>
        <w:rPr>
          <w:rFonts w:ascii="Arial" w:eastAsia="Arial" w:hAnsi="Arial" w:cs="Arial"/>
          <w:b/>
          <w:bCs/>
          <w:sz w:val="22"/>
          <w:szCs w:val="22"/>
        </w:rPr>
        <w:t xml:space="preserve"> </w:t>
      </w:r>
      <w:r>
        <w:rPr>
          <w:rFonts w:ascii="Arial" w:eastAsia="Arial" w:hAnsi="Arial" w:cs="Arial"/>
          <w:b/>
          <w:bCs/>
          <w:color w:val="000000"/>
          <w:sz w:val="22"/>
          <w:szCs w:val="22"/>
        </w:rPr>
        <w:t>:</w:t>
      </w:r>
      <w:proofErr w:type="gramEnd"/>
      <w:r>
        <w:rPr>
          <w:rFonts w:ascii="Arial" w:eastAsia="Arial" w:hAnsi="Arial" w:cs="Arial"/>
          <w:b/>
          <w:bCs/>
          <w:color w:val="000000"/>
          <w:sz w:val="22"/>
          <w:szCs w:val="22"/>
        </w:rPr>
        <w:t xml:space="preserve"> </w:t>
      </w:r>
      <w:r>
        <w:rPr>
          <w:rFonts w:ascii="Arial" w:eastAsia="Arial" w:hAnsi="Arial" w:cs="Arial"/>
          <w:sz w:val="22"/>
          <w:szCs w:val="22"/>
        </w:rPr>
        <w:t xml:space="preserve"> Haverá impacto orçamentário apenas no exercício de 2026.</w:t>
      </w:r>
    </w:p>
    <w:p w14:paraId="54082554" w14:textId="77777777" w:rsidR="00A622C3" w:rsidRDefault="00A622C3">
      <w:pPr>
        <w:pStyle w:val="Normal4"/>
        <w:widowControl/>
        <w:tabs>
          <w:tab w:val="left" w:pos="0"/>
        </w:tabs>
        <w:spacing w:line="360" w:lineRule="auto"/>
        <w:ind w:right="284"/>
        <w:jc w:val="both"/>
        <w:rPr>
          <w:rFonts w:ascii="Arial" w:eastAsia="Arial" w:hAnsi="Arial" w:cs="Arial"/>
          <w:sz w:val="22"/>
          <w:szCs w:val="22"/>
        </w:rPr>
      </w:pPr>
    </w:p>
    <w:p w14:paraId="578CFBA7" w14:textId="77777777" w:rsidR="00A622C3" w:rsidRDefault="00263D7B">
      <w:pPr>
        <w:pStyle w:val="Normal4"/>
        <w:widowControl/>
        <w:tabs>
          <w:tab w:val="left" w:pos="0"/>
        </w:tabs>
        <w:spacing w:line="360" w:lineRule="auto"/>
        <w:ind w:right="-57"/>
        <w:jc w:val="both"/>
        <w:rPr>
          <w:rFonts w:ascii="Arial" w:eastAsia="Arial" w:hAnsi="Arial" w:cs="Arial"/>
          <w:b/>
          <w:bCs/>
          <w:sz w:val="22"/>
          <w:szCs w:val="22"/>
        </w:rPr>
      </w:pPr>
      <w:r>
        <w:rPr>
          <w:rFonts w:ascii="Arial" w:eastAsia="Arial" w:hAnsi="Arial" w:cs="Arial"/>
          <w:color w:val="000000"/>
          <w:sz w:val="22"/>
          <w:szCs w:val="22"/>
        </w:rPr>
        <w:t>1</w:t>
      </w:r>
      <w:r>
        <w:rPr>
          <w:rFonts w:ascii="Arial" w:eastAsia="Arial" w:hAnsi="Arial" w:cs="Arial"/>
          <w:sz w:val="22"/>
          <w:szCs w:val="22"/>
        </w:rPr>
        <w:t xml:space="preserve">7. </w:t>
      </w:r>
      <w:r>
        <w:rPr>
          <w:rFonts w:ascii="Arial" w:eastAsia="Arial" w:hAnsi="Arial" w:cs="Arial"/>
          <w:b/>
          <w:bCs/>
          <w:sz w:val="22"/>
          <w:szCs w:val="22"/>
        </w:rPr>
        <w:t>REGIME DE EXECUÇÃO</w:t>
      </w:r>
    </w:p>
    <w:p w14:paraId="569F2456" w14:textId="77777777" w:rsidR="00A622C3" w:rsidRDefault="00263D7B">
      <w:pPr>
        <w:pStyle w:val="Normal4"/>
        <w:widowControl/>
        <w:tabs>
          <w:tab w:val="left" w:pos="0"/>
        </w:tabs>
        <w:spacing w:line="360" w:lineRule="auto"/>
        <w:ind w:right="-57"/>
        <w:jc w:val="both"/>
        <w:rPr>
          <w:rFonts w:ascii="Arial" w:eastAsia="Arial" w:hAnsi="Arial" w:cs="Arial"/>
          <w:sz w:val="22"/>
          <w:szCs w:val="22"/>
        </w:rPr>
      </w:pPr>
      <w:r>
        <w:rPr>
          <w:rFonts w:ascii="Arial" w:eastAsia="Arial" w:hAnsi="Arial" w:cs="Arial"/>
          <w:sz w:val="22"/>
          <w:szCs w:val="22"/>
        </w:rPr>
        <w:t>17.1. O regime de execução é o de empreitada por preço global.</w:t>
      </w:r>
    </w:p>
    <w:p w14:paraId="3241DBF2" w14:textId="77777777" w:rsidR="00A622C3" w:rsidRDefault="00A622C3">
      <w:pPr>
        <w:pStyle w:val="Normal4"/>
        <w:widowControl/>
        <w:tabs>
          <w:tab w:val="left" w:pos="0"/>
        </w:tabs>
        <w:spacing w:line="360" w:lineRule="auto"/>
        <w:ind w:right="-57"/>
        <w:jc w:val="both"/>
        <w:rPr>
          <w:rFonts w:ascii="Arial" w:eastAsia="Arial" w:hAnsi="Arial" w:cs="Arial"/>
          <w:color w:val="FF0000"/>
          <w:sz w:val="22"/>
          <w:szCs w:val="22"/>
        </w:rPr>
      </w:pPr>
    </w:p>
    <w:p w14:paraId="239FB18D" w14:textId="77777777" w:rsidR="00A622C3" w:rsidRDefault="00263D7B">
      <w:pPr>
        <w:pStyle w:val="Normal4"/>
        <w:widowControl/>
        <w:tabs>
          <w:tab w:val="left" w:pos="0"/>
        </w:tabs>
        <w:spacing w:line="360" w:lineRule="auto"/>
        <w:ind w:right="284"/>
        <w:jc w:val="both"/>
        <w:rPr>
          <w:rFonts w:ascii="Arial" w:eastAsia="Arial" w:hAnsi="Arial" w:cs="Arial"/>
          <w:b/>
          <w:bCs/>
          <w:sz w:val="22"/>
          <w:szCs w:val="22"/>
        </w:rPr>
      </w:pPr>
      <w:r>
        <w:rPr>
          <w:rFonts w:ascii="Arial" w:eastAsia="Arial" w:hAnsi="Arial" w:cs="Arial"/>
          <w:b/>
          <w:bCs/>
          <w:sz w:val="22"/>
          <w:szCs w:val="22"/>
        </w:rPr>
        <w:t>18. ADEQUAÇÃO ORÇAMENTÁRIA</w:t>
      </w:r>
    </w:p>
    <w:p w14:paraId="406B3182"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 xml:space="preserve">18.1. As despesas decorrentes da presente contratação correrão à conta de recursos específicos consignados no Orçamento Geral da União, conforme a seguir: item SIGEO de </w:t>
      </w:r>
      <w:proofErr w:type="gramStart"/>
      <w:r>
        <w:rPr>
          <w:rFonts w:ascii="Arial" w:eastAsia="Arial" w:hAnsi="Arial" w:cs="Arial"/>
          <w:sz w:val="22"/>
          <w:szCs w:val="22"/>
        </w:rPr>
        <w:t>nº  15108202600013</w:t>
      </w:r>
      <w:proofErr w:type="gramEnd"/>
      <w:r>
        <w:rPr>
          <w:rFonts w:ascii="Arial" w:eastAsia="Arial" w:hAnsi="Arial" w:cs="Arial"/>
          <w:sz w:val="22"/>
          <w:szCs w:val="22"/>
        </w:rPr>
        <w:t>.</w:t>
      </w:r>
    </w:p>
    <w:p w14:paraId="6B572669" w14:textId="77777777" w:rsidR="00A622C3" w:rsidRDefault="00A622C3">
      <w:pPr>
        <w:pStyle w:val="Normal4"/>
        <w:widowControl/>
        <w:tabs>
          <w:tab w:val="left" w:pos="0"/>
        </w:tabs>
        <w:spacing w:line="360" w:lineRule="auto"/>
        <w:ind w:right="284"/>
        <w:jc w:val="both"/>
        <w:rPr>
          <w:rFonts w:ascii="Arial" w:eastAsia="Arial" w:hAnsi="Arial" w:cs="Arial"/>
          <w:sz w:val="22"/>
          <w:szCs w:val="22"/>
        </w:rPr>
      </w:pPr>
    </w:p>
    <w:p w14:paraId="0969705A" w14:textId="77777777" w:rsidR="00A622C3" w:rsidRDefault="00263D7B">
      <w:pPr>
        <w:pStyle w:val="Normal4"/>
        <w:widowControl/>
        <w:tabs>
          <w:tab w:val="left" w:pos="0"/>
        </w:tabs>
        <w:spacing w:line="360" w:lineRule="auto"/>
        <w:ind w:right="-57"/>
        <w:jc w:val="both"/>
        <w:rPr>
          <w:rFonts w:ascii="Arial" w:eastAsia="Arial" w:hAnsi="Arial" w:cs="Arial"/>
          <w:b/>
          <w:bCs/>
          <w:color w:val="000000"/>
          <w:sz w:val="22"/>
          <w:szCs w:val="22"/>
        </w:rPr>
      </w:pPr>
      <w:r>
        <w:rPr>
          <w:rFonts w:ascii="Arial" w:eastAsia="Arial" w:hAnsi="Arial" w:cs="Arial"/>
          <w:b/>
          <w:bCs/>
          <w:sz w:val="22"/>
          <w:szCs w:val="22"/>
        </w:rPr>
        <w:t>19.</w:t>
      </w:r>
      <w:r>
        <w:rPr>
          <w:rFonts w:ascii="Arial" w:eastAsia="Arial" w:hAnsi="Arial" w:cs="Arial"/>
          <w:b/>
          <w:bCs/>
          <w:color w:val="000000"/>
          <w:sz w:val="22"/>
          <w:szCs w:val="22"/>
        </w:rPr>
        <w:t xml:space="preserve"> São anexos a este TR:</w:t>
      </w:r>
    </w:p>
    <w:p w14:paraId="2D07D6E2" w14:textId="77777777" w:rsidR="00A622C3" w:rsidRDefault="00263D7B">
      <w:pPr>
        <w:pStyle w:val="Normal4"/>
        <w:widowControl/>
        <w:tabs>
          <w:tab w:val="left" w:pos="0"/>
        </w:tabs>
        <w:spacing w:line="360" w:lineRule="auto"/>
        <w:ind w:right="-57"/>
        <w:jc w:val="both"/>
        <w:rPr>
          <w:rFonts w:ascii="Arial" w:eastAsia="Arial" w:hAnsi="Arial" w:cs="Arial"/>
          <w:sz w:val="22"/>
          <w:szCs w:val="22"/>
        </w:rPr>
      </w:pPr>
      <w:r>
        <w:rPr>
          <w:rFonts w:ascii="Arial" w:eastAsia="Arial" w:hAnsi="Arial" w:cs="Arial"/>
          <w:sz w:val="22"/>
          <w:szCs w:val="22"/>
        </w:rPr>
        <w:t>ANEXO I – PROJETO ARQUITETÔNICO</w:t>
      </w:r>
    </w:p>
    <w:p w14:paraId="20CB59B2" w14:textId="77777777" w:rsidR="00A622C3" w:rsidRDefault="00263D7B">
      <w:pPr>
        <w:pStyle w:val="Normal4"/>
        <w:widowControl/>
        <w:tabs>
          <w:tab w:val="left" w:pos="0"/>
        </w:tabs>
        <w:spacing w:line="360" w:lineRule="auto"/>
        <w:ind w:right="-57"/>
        <w:jc w:val="both"/>
        <w:rPr>
          <w:rFonts w:ascii="Arial" w:eastAsia="Arial" w:hAnsi="Arial" w:cs="Arial"/>
          <w:sz w:val="22"/>
          <w:szCs w:val="22"/>
        </w:rPr>
      </w:pPr>
      <w:r>
        <w:rPr>
          <w:rFonts w:ascii="Arial" w:eastAsia="Arial" w:hAnsi="Arial" w:cs="Arial"/>
          <w:sz w:val="22"/>
          <w:szCs w:val="22"/>
        </w:rPr>
        <w:t>ANEXO II - VALOR ESTIMADO</w:t>
      </w:r>
    </w:p>
    <w:p w14:paraId="343CC0FB" w14:textId="77777777" w:rsidR="00A622C3" w:rsidRDefault="00263D7B">
      <w:pPr>
        <w:pStyle w:val="Normal4"/>
        <w:widowControl/>
        <w:tabs>
          <w:tab w:val="left" w:pos="0"/>
        </w:tabs>
        <w:spacing w:line="360" w:lineRule="auto"/>
        <w:ind w:right="-57"/>
        <w:jc w:val="both"/>
        <w:rPr>
          <w:rFonts w:ascii="Arial" w:eastAsia="Arial" w:hAnsi="Arial" w:cs="Arial"/>
          <w:sz w:val="22"/>
          <w:szCs w:val="22"/>
        </w:rPr>
      </w:pPr>
      <w:r>
        <w:rPr>
          <w:rFonts w:ascii="Arial" w:eastAsia="Arial" w:hAnsi="Arial" w:cs="Arial"/>
          <w:sz w:val="22"/>
          <w:szCs w:val="22"/>
        </w:rPr>
        <w:t>ANEXO III – MODELOS DE DECLARAÇÕES</w:t>
      </w:r>
    </w:p>
    <w:p w14:paraId="19C42352" w14:textId="77777777" w:rsidR="00A622C3" w:rsidRDefault="00263D7B">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 xml:space="preserve">                        </w:t>
      </w:r>
    </w:p>
    <w:p w14:paraId="148BB4DE" w14:textId="77777777" w:rsidR="00A622C3" w:rsidRDefault="00065B08">
      <w:pPr>
        <w:pStyle w:val="Normal4"/>
        <w:widowControl/>
        <w:tabs>
          <w:tab w:val="left" w:pos="0"/>
        </w:tabs>
        <w:spacing w:line="360" w:lineRule="auto"/>
        <w:ind w:right="284"/>
        <w:jc w:val="both"/>
        <w:rPr>
          <w:rFonts w:ascii="Arial" w:eastAsia="Arial" w:hAnsi="Arial" w:cs="Arial"/>
          <w:sz w:val="22"/>
          <w:szCs w:val="22"/>
        </w:rPr>
      </w:pPr>
      <w:r>
        <w:rPr>
          <w:rFonts w:ascii="Arial" w:eastAsia="Arial" w:hAnsi="Arial" w:cs="Arial"/>
          <w:sz w:val="22"/>
          <w:szCs w:val="22"/>
        </w:rPr>
        <w:t>Fortaleza (CE), 26</w:t>
      </w:r>
      <w:r w:rsidR="00263D7B">
        <w:rPr>
          <w:rFonts w:ascii="Arial" w:eastAsia="Arial" w:hAnsi="Arial" w:cs="Arial"/>
          <w:sz w:val="22"/>
          <w:szCs w:val="22"/>
        </w:rPr>
        <w:t xml:space="preserve"> de agosto de 2026.</w:t>
      </w:r>
    </w:p>
    <w:p w14:paraId="4EA66557" w14:textId="77777777" w:rsidR="00A622C3" w:rsidRDefault="00A622C3">
      <w:pPr>
        <w:pStyle w:val="Normal4"/>
        <w:widowControl/>
        <w:tabs>
          <w:tab w:val="left" w:pos="0"/>
        </w:tabs>
        <w:spacing w:line="360" w:lineRule="auto"/>
        <w:ind w:right="284"/>
        <w:rPr>
          <w:rFonts w:ascii="Arial" w:eastAsia="Arial" w:hAnsi="Arial" w:cs="Arial"/>
          <w:color w:val="000000"/>
          <w:sz w:val="22"/>
          <w:szCs w:val="22"/>
        </w:rPr>
      </w:pPr>
    </w:p>
    <w:p w14:paraId="608A9963" w14:textId="77777777" w:rsidR="00A622C3" w:rsidRDefault="00263D7B">
      <w:pPr>
        <w:pStyle w:val="Normal4"/>
        <w:widowControl/>
        <w:tabs>
          <w:tab w:val="left" w:pos="0"/>
        </w:tabs>
        <w:spacing w:line="360" w:lineRule="auto"/>
        <w:ind w:right="284"/>
        <w:rPr>
          <w:rFonts w:ascii="Arial" w:eastAsia="Arial" w:hAnsi="Arial" w:cs="Arial"/>
          <w:sz w:val="22"/>
          <w:szCs w:val="22"/>
        </w:rPr>
      </w:pPr>
      <w:r>
        <w:rPr>
          <w:rFonts w:ascii="Arial" w:eastAsia="Arial" w:hAnsi="Arial" w:cs="Arial"/>
          <w:sz w:val="22"/>
          <w:szCs w:val="22"/>
        </w:rPr>
        <w:t>TATIANA RABELLO ABITBOL</w:t>
      </w:r>
    </w:p>
    <w:p w14:paraId="402B628D" w14:textId="77777777" w:rsidR="00A622C3" w:rsidRDefault="00263D7B">
      <w:pPr>
        <w:pStyle w:val="Normal4"/>
        <w:widowControl/>
        <w:tabs>
          <w:tab w:val="left" w:pos="0"/>
        </w:tabs>
        <w:spacing w:line="360" w:lineRule="auto"/>
        <w:ind w:right="284"/>
        <w:rPr>
          <w:rFonts w:ascii="Arial" w:eastAsia="Arial" w:hAnsi="Arial" w:cs="Arial"/>
          <w:sz w:val="22"/>
          <w:szCs w:val="22"/>
        </w:rPr>
      </w:pPr>
      <w:r>
        <w:rPr>
          <w:rFonts w:ascii="Arial" w:eastAsia="Arial" w:hAnsi="Arial" w:cs="Arial"/>
          <w:sz w:val="22"/>
          <w:szCs w:val="22"/>
        </w:rPr>
        <w:t>Analista Judiciário - Apoio Especializado Arquitetura</w:t>
      </w:r>
    </w:p>
    <w:p w14:paraId="5B70912A" w14:textId="77777777" w:rsidR="00A622C3" w:rsidRDefault="00A622C3">
      <w:pPr>
        <w:pStyle w:val="Normal4"/>
        <w:widowControl/>
        <w:tabs>
          <w:tab w:val="left" w:pos="0"/>
        </w:tabs>
        <w:spacing w:line="360" w:lineRule="auto"/>
        <w:ind w:right="284"/>
        <w:rPr>
          <w:rFonts w:ascii="Arial" w:eastAsia="Arial" w:hAnsi="Arial" w:cs="Arial"/>
          <w:sz w:val="22"/>
          <w:szCs w:val="22"/>
        </w:rPr>
      </w:pPr>
    </w:p>
    <w:p w14:paraId="087DDF37" w14:textId="77777777" w:rsidR="00A622C3" w:rsidRDefault="00263D7B">
      <w:pPr>
        <w:pStyle w:val="Normal4"/>
        <w:widowControl/>
        <w:tabs>
          <w:tab w:val="left" w:pos="0"/>
        </w:tabs>
        <w:spacing w:line="360" w:lineRule="auto"/>
        <w:ind w:right="284"/>
        <w:rPr>
          <w:rFonts w:ascii="Arial" w:eastAsia="Arial" w:hAnsi="Arial" w:cs="Arial"/>
          <w:sz w:val="22"/>
          <w:szCs w:val="22"/>
        </w:rPr>
      </w:pPr>
      <w:r>
        <w:rPr>
          <w:rFonts w:ascii="Arial" w:eastAsia="Arial" w:hAnsi="Arial" w:cs="Arial"/>
          <w:sz w:val="22"/>
          <w:szCs w:val="22"/>
        </w:rPr>
        <w:t>GUSTAVO DANIEL GESTEIRA MONTEIRO</w:t>
      </w:r>
    </w:p>
    <w:p w14:paraId="5FE8E41F" w14:textId="77777777" w:rsidR="00A622C3" w:rsidRDefault="00263D7B">
      <w:pPr>
        <w:pStyle w:val="Normal4"/>
        <w:widowControl/>
        <w:tabs>
          <w:tab w:val="left" w:pos="0"/>
        </w:tabs>
        <w:spacing w:line="360" w:lineRule="auto"/>
        <w:ind w:right="284"/>
        <w:rPr>
          <w:rFonts w:ascii="Arial" w:eastAsia="Arial" w:hAnsi="Arial" w:cs="Arial"/>
          <w:sz w:val="22"/>
          <w:szCs w:val="22"/>
        </w:rPr>
      </w:pPr>
      <w:r>
        <w:rPr>
          <w:rFonts w:ascii="Arial" w:eastAsia="Arial" w:hAnsi="Arial" w:cs="Arial"/>
          <w:sz w:val="22"/>
          <w:szCs w:val="22"/>
        </w:rPr>
        <w:t>Diretor da Coordenadoria de Projetos e Obras</w:t>
      </w:r>
    </w:p>
    <w:p w14:paraId="04845A5F" w14:textId="77777777" w:rsidR="00A622C3" w:rsidRDefault="00A622C3">
      <w:pPr>
        <w:pStyle w:val="Normal4"/>
        <w:widowControl/>
        <w:tabs>
          <w:tab w:val="left" w:pos="0"/>
        </w:tabs>
        <w:spacing w:line="360" w:lineRule="auto"/>
        <w:ind w:right="284"/>
        <w:rPr>
          <w:rFonts w:ascii="Arial" w:eastAsia="Arial" w:hAnsi="Arial" w:cs="Arial"/>
          <w:sz w:val="22"/>
          <w:szCs w:val="22"/>
        </w:rPr>
        <w:sectPr w:rsidR="00A622C3">
          <w:headerReference w:type="default" r:id="rId40"/>
          <w:pgSz w:w="11906" w:h="16838"/>
          <w:pgMar w:top="1417" w:right="849" w:bottom="1417" w:left="1984" w:header="0" w:footer="0" w:gutter="0"/>
          <w:pgNumType w:start="1"/>
          <w:cols w:space="720"/>
        </w:sectPr>
      </w:pPr>
    </w:p>
    <w:p w14:paraId="648BB192" w14:textId="77777777" w:rsidR="00A622C3" w:rsidRDefault="00A622C3">
      <w:pPr>
        <w:pStyle w:val="Ttulo2"/>
        <w:tabs>
          <w:tab w:val="left" w:pos="0"/>
        </w:tabs>
        <w:jc w:val="left"/>
        <w:rPr>
          <w:rFonts w:ascii="Arial" w:eastAsia="Arial" w:hAnsi="Arial" w:cs="Arial"/>
          <w:u w:val="single"/>
        </w:rPr>
      </w:pPr>
    </w:p>
    <w:p w14:paraId="5E281DAE" w14:textId="77777777" w:rsidR="00A622C3" w:rsidRDefault="00A622C3">
      <w:pPr>
        <w:pStyle w:val="Ttulo2"/>
        <w:tabs>
          <w:tab w:val="left" w:pos="0"/>
        </w:tabs>
        <w:jc w:val="left"/>
        <w:rPr>
          <w:rFonts w:ascii="Arial" w:eastAsia="Arial" w:hAnsi="Arial" w:cs="Arial"/>
          <w:u w:val="single"/>
        </w:rPr>
      </w:pPr>
    </w:p>
    <w:p w14:paraId="44078EC7" w14:textId="77777777" w:rsidR="00A622C3" w:rsidRDefault="00263D7B">
      <w:pPr>
        <w:pStyle w:val="Ttulo2"/>
        <w:tabs>
          <w:tab w:val="left" w:pos="0"/>
        </w:tabs>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ANEXO III</w:t>
      </w:r>
    </w:p>
    <w:p w14:paraId="70FD37B7" w14:textId="77777777" w:rsidR="00A622C3" w:rsidRDefault="00A622C3">
      <w:pPr>
        <w:pStyle w:val="Normal4"/>
        <w:rPr>
          <w:color w:val="000000"/>
        </w:rPr>
      </w:pPr>
    </w:p>
    <w:p w14:paraId="3D4F5600" w14:textId="77777777" w:rsidR="00A622C3" w:rsidRDefault="00263D7B">
      <w:pPr>
        <w:pStyle w:val="Ttulo2"/>
        <w:tabs>
          <w:tab w:val="left" w:pos="0"/>
        </w:tabs>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DECLARAÇÃO</w:t>
      </w:r>
    </w:p>
    <w:p w14:paraId="27A314D8" w14:textId="77777777" w:rsidR="00A622C3" w:rsidRDefault="00A622C3">
      <w:pPr>
        <w:pStyle w:val="Normal4"/>
        <w:ind w:firstLine="1134"/>
        <w:jc w:val="both"/>
        <w:rPr>
          <w:rFonts w:ascii="Arial" w:eastAsia="Arial" w:hAnsi="Arial" w:cs="Arial"/>
          <w:b/>
          <w:bCs/>
          <w:color w:val="000000"/>
          <w:sz w:val="20"/>
          <w:szCs w:val="20"/>
        </w:rPr>
      </w:pPr>
    </w:p>
    <w:p w14:paraId="366369F4" w14:textId="77777777" w:rsidR="00A622C3" w:rsidRDefault="00A622C3">
      <w:pPr>
        <w:pStyle w:val="Normal4"/>
        <w:ind w:firstLine="1134"/>
        <w:jc w:val="both"/>
        <w:rPr>
          <w:rFonts w:ascii="Arial" w:eastAsia="Arial" w:hAnsi="Arial" w:cs="Arial"/>
          <w:b/>
          <w:bCs/>
          <w:color w:val="000000"/>
          <w:sz w:val="20"/>
          <w:szCs w:val="20"/>
        </w:rPr>
      </w:pPr>
    </w:p>
    <w:p w14:paraId="1EE4740F" w14:textId="77777777" w:rsidR="00A622C3" w:rsidRDefault="00A622C3">
      <w:pPr>
        <w:pStyle w:val="Normal4"/>
        <w:jc w:val="both"/>
        <w:rPr>
          <w:rFonts w:ascii="Arial" w:eastAsia="Arial" w:hAnsi="Arial" w:cs="Arial"/>
          <w:b/>
          <w:bCs/>
          <w:color w:val="000000"/>
          <w:sz w:val="20"/>
          <w:szCs w:val="20"/>
        </w:rPr>
      </w:pPr>
    </w:p>
    <w:p w14:paraId="3D4522B0" w14:textId="77777777" w:rsidR="00A622C3" w:rsidRDefault="00A622C3">
      <w:pPr>
        <w:pStyle w:val="Normal4"/>
        <w:ind w:firstLine="1134"/>
        <w:jc w:val="both"/>
        <w:rPr>
          <w:rFonts w:ascii="Arial" w:eastAsia="Arial" w:hAnsi="Arial" w:cs="Arial"/>
          <w:b/>
          <w:bCs/>
          <w:color w:val="000000"/>
          <w:sz w:val="20"/>
          <w:szCs w:val="20"/>
        </w:rPr>
      </w:pPr>
    </w:p>
    <w:p w14:paraId="20509F78" w14:textId="77777777" w:rsidR="00A622C3" w:rsidRDefault="00A622C3">
      <w:pPr>
        <w:pStyle w:val="Normal4"/>
        <w:ind w:firstLine="1134"/>
        <w:jc w:val="both"/>
        <w:rPr>
          <w:rFonts w:ascii="Arial" w:eastAsia="Arial" w:hAnsi="Arial" w:cs="Arial"/>
          <w:b/>
          <w:bCs/>
          <w:color w:val="000000"/>
          <w:sz w:val="20"/>
          <w:szCs w:val="20"/>
        </w:rPr>
      </w:pPr>
    </w:p>
    <w:p w14:paraId="500276CA" w14:textId="77777777" w:rsidR="00A622C3" w:rsidRDefault="00263D7B">
      <w:pPr>
        <w:pStyle w:val="Normal4"/>
        <w:jc w:val="both"/>
        <w:rPr>
          <w:color w:val="000000"/>
        </w:rPr>
      </w:pPr>
      <w:r>
        <w:rPr>
          <w:rFonts w:ascii="Arial" w:eastAsia="Arial" w:hAnsi="Arial" w:cs="Arial"/>
          <w:b/>
          <w:bCs/>
          <w:color w:val="000000"/>
          <w:sz w:val="20"/>
          <w:szCs w:val="20"/>
        </w:rPr>
        <w:t xml:space="preserve">___________________________, </w:t>
      </w:r>
      <w:r>
        <w:rPr>
          <w:rFonts w:ascii="Arial" w:eastAsia="Arial" w:hAnsi="Arial" w:cs="Arial"/>
          <w:color w:val="000000"/>
          <w:sz w:val="20"/>
          <w:szCs w:val="20"/>
        </w:rPr>
        <w:t>inscrito</w:t>
      </w:r>
      <w:r>
        <w:rPr>
          <w:rFonts w:ascii="Arial" w:eastAsia="Arial" w:hAnsi="Arial" w:cs="Arial"/>
          <w:b/>
          <w:bCs/>
          <w:color w:val="000000"/>
          <w:sz w:val="20"/>
          <w:szCs w:val="20"/>
        </w:rPr>
        <w:t xml:space="preserve"> </w:t>
      </w:r>
      <w:r>
        <w:rPr>
          <w:rFonts w:ascii="Arial" w:eastAsia="Arial" w:hAnsi="Arial" w:cs="Arial"/>
          <w:color w:val="000000"/>
          <w:sz w:val="20"/>
          <w:szCs w:val="20"/>
        </w:rPr>
        <w:t>no</w:t>
      </w:r>
      <w:r>
        <w:rPr>
          <w:rFonts w:ascii="Arial" w:eastAsia="Arial" w:hAnsi="Arial" w:cs="Arial"/>
          <w:b/>
          <w:bCs/>
          <w:color w:val="000000"/>
          <w:sz w:val="20"/>
          <w:szCs w:val="20"/>
        </w:rPr>
        <w:t xml:space="preserve"> </w:t>
      </w:r>
      <w:r>
        <w:rPr>
          <w:rFonts w:ascii="Arial" w:eastAsia="Arial" w:hAnsi="Arial" w:cs="Arial"/>
          <w:color w:val="000000"/>
          <w:sz w:val="20"/>
          <w:szCs w:val="20"/>
        </w:rPr>
        <w:t xml:space="preserve">CNPJ nº ___________________, por intermédio de seu representante legal o(a) Sr(a). ..................................., portador(a) da carteira de identidade nº ........................... e do CPF nº ............................., </w:t>
      </w:r>
      <w:r>
        <w:rPr>
          <w:rFonts w:ascii="Arial" w:eastAsia="Arial" w:hAnsi="Arial" w:cs="Arial"/>
          <w:b/>
          <w:bCs/>
          <w:color w:val="000000"/>
          <w:sz w:val="20"/>
          <w:szCs w:val="20"/>
        </w:rPr>
        <w:t>DECLARA</w:t>
      </w:r>
      <w:r>
        <w:rPr>
          <w:rFonts w:ascii="Arial" w:eastAsia="Arial" w:hAnsi="Arial" w:cs="Arial"/>
          <w:color w:val="000000"/>
          <w:sz w:val="20"/>
          <w:szCs w:val="20"/>
        </w:rPr>
        <w:t>, para fins do disposto no inciso VI do artigo 68 da Lei nº 14.133/2021, de que não emprega menor de dezoito anos em trabalho noturno, perigoso ou insalubre e não emprega menor de dezesseis anos.</w:t>
      </w:r>
    </w:p>
    <w:p w14:paraId="09940611" w14:textId="77777777" w:rsidR="00A622C3" w:rsidRDefault="00A622C3">
      <w:pPr>
        <w:pStyle w:val="Normal4"/>
        <w:jc w:val="both"/>
        <w:rPr>
          <w:rFonts w:ascii="Arial" w:eastAsia="Arial" w:hAnsi="Arial" w:cs="Arial"/>
          <w:color w:val="000000"/>
          <w:sz w:val="20"/>
          <w:szCs w:val="20"/>
        </w:rPr>
      </w:pPr>
    </w:p>
    <w:p w14:paraId="0EB9761F" w14:textId="77777777" w:rsidR="00A622C3" w:rsidRDefault="00263D7B">
      <w:pPr>
        <w:pStyle w:val="Normal4"/>
        <w:jc w:val="both"/>
        <w:rPr>
          <w:rFonts w:ascii="Arial" w:eastAsia="Arial" w:hAnsi="Arial" w:cs="Arial"/>
          <w:color w:val="000000"/>
          <w:sz w:val="20"/>
          <w:szCs w:val="20"/>
        </w:rPr>
      </w:pPr>
      <w:r>
        <w:rPr>
          <w:rFonts w:ascii="Arial" w:eastAsia="Arial" w:hAnsi="Arial" w:cs="Arial"/>
          <w:color w:val="000000"/>
          <w:sz w:val="20"/>
          <w:szCs w:val="20"/>
        </w:rPr>
        <w:t xml:space="preserve">Ressalva: </w:t>
      </w:r>
    </w:p>
    <w:p w14:paraId="7BF542B9" w14:textId="77777777" w:rsidR="00A622C3" w:rsidRDefault="00263D7B">
      <w:pPr>
        <w:pStyle w:val="Normal4"/>
        <w:jc w:val="both"/>
        <w:rPr>
          <w:rFonts w:ascii="Arial" w:eastAsia="Arial" w:hAnsi="Arial" w:cs="Arial"/>
          <w:color w:val="000000"/>
          <w:sz w:val="20"/>
          <w:szCs w:val="20"/>
        </w:rPr>
      </w:pPr>
      <w:proofErr w:type="gramStart"/>
      <w:r>
        <w:rPr>
          <w:rFonts w:ascii="Arial" w:eastAsia="Arial" w:hAnsi="Arial" w:cs="Arial"/>
          <w:color w:val="000000"/>
          <w:sz w:val="20"/>
          <w:szCs w:val="20"/>
        </w:rPr>
        <w:t xml:space="preserve">(  </w:t>
      </w:r>
      <w:proofErr w:type="gramEnd"/>
      <w:r>
        <w:rPr>
          <w:rFonts w:ascii="Arial" w:eastAsia="Arial" w:hAnsi="Arial" w:cs="Arial"/>
          <w:color w:val="000000"/>
          <w:sz w:val="20"/>
          <w:szCs w:val="20"/>
        </w:rPr>
        <w:t xml:space="preserve"> ) emprega menor, a partir de quatorze anos, na condição de aprendiz </w:t>
      </w:r>
    </w:p>
    <w:p w14:paraId="0B0DADA5" w14:textId="77777777" w:rsidR="00A622C3" w:rsidRDefault="00A622C3">
      <w:pPr>
        <w:pStyle w:val="Normal4"/>
        <w:ind w:firstLine="1134"/>
        <w:jc w:val="both"/>
        <w:rPr>
          <w:rFonts w:ascii="Arial" w:eastAsia="Arial" w:hAnsi="Arial" w:cs="Arial"/>
          <w:color w:val="000000"/>
          <w:sz w:val="20"/>
          <w:szCs w:val="20"/>
        </w:rPr>
      </w:pPr>
    </w:p>
    <w:p w14:paraId="26CB3EED" w14:textId="77777777" w:rsidR="00A622C3" w:rsidRDefault="00A622C3">
      <w:pPr>
        <w:pStyle w:val="Normal4"/>
        <w:ind w:firstLine="1134"/>
        <w:jc w:val="both"/>
        <w:rPr>
          <w:rFonts w:ascii="Arial" w:eastAsia="Arial" w:hAnsi="Arial" w:cs="Arial"/>
          <w:color w:val="000000"/>
          <w:sz w:val="20"/>
          <w:szCs w:val="20"/>
        </w:rPr>
      </w:pPr>
    </w:p>
    <w:p w14:paraId="5E39D579" w14:textId="77777777" w:rsidR="00A622C3" w:rsidRDefault="00263D7B">
      <w:pPr>
        <w:pStyle w:val="Normal4"/>
        <w:jc w:val="both"/>
        <w:rPr>
          <w:rFonts w:ascii="Arial" w:eastAsia="Arial" w:hAnsi="Arial" w:cs="Arial"/>
          <w:b/>
          <w:bCs/>
          <w:color w:val="000000"/>
          <w:sz w:val="20"/>
          <w:szCs w:val="20"/>
        </w:rPr>
      </w:pPr>
      <w:r>
        <w:rPr>
          <w:rFonts w:ascii="Arial" w:eastAsia="Arial" w:hAnsi="Arial" w:cs="Arial"/>
          <w:b/>
          <w:bCs/>
          <w:color w:val="000000"/>
          <w:sz w:val="20"/>
          <w:szCs w:val="20"/>
        </w:rPr>
        <w:t>OBS: em caso afirmativo assinalar a ressalva acima.</w:t>
      </w:r>
    </w:p>
    <w:p w14:paraId="6BBF78D1" w14:textId="77777777" w:rsidR="00A622C3" w:rsidRDefault="00A622C3">
      <w:pPr>
        <w:pStyle w:val="Normal4"/>
        <w:ind w:firstLine="1134"/>
        <w:jc w:val="both"/>
        <w:rPr>
          <w:rFonts w:ascii="Arial" w:eastAsia="Arial" w:hAnsi="Arial" w:cs="Arial"/>
          <w:color w:val="000000"/>
          <w:sz w:val="20"/>
          <w:szCs w:val="20"/>
        </w:rPr>
      </w:pPr>
    </w:p>
    <w:p w14:paraId="2B8ADF6A" w14:textId="77777777" w:rsidR="00A622C3" w:rsidRDefault="00A622C3">
      <w:pPr>
        <w:pStyle w:val="Normal4"/>
        <w:ind w:firstLine="1134"/>
        <w:jc w:val="both"/>
        <w:rPr>
          <w:rFonts w:ascii="Arial" w:eastAsia="Arial" w:hAnsi="Arial" w:cs="Arial"/>
          <w:color w:val="000000"/>
          <w:sz w:val="20"/>
          <w:szCs w:val="20"/>
        </w:rPr>
      </w:pPr>
    </w:p>
    <w:p w14:paraId="09A9B828" w14:textId="77777777" w:rsidR="00A622C3" w:rsidRDefault="00A622C3">
      <w:pPr>
        <w:pStyle w:val="Normal4"/>
        <w:ind w:firstLine="1134"/>
        <w:jc w:val="both"/>
        <w:rPr>
          <w:rFonts w:ascii="Arial" w:eastAsia="Arial" w:hAnsi="Arial" w:cs="Arial"/>
          <w:color w:val="000000"/>
          <w:sz w:val="20"/>
          <w:szCs w:val="20"/>
        </w:rPr>
      </w:pPr>
    </w:p>
    <w:p w14:paraId="4F0A976B" w14:textId="77777777" w:rsidR="00A622C3" w:rsidRDefault="00263D7B">
      <w:pPr>
        <w:pStyle w:val="Normal4"/>
        <w:ind w:firstLine="1134"/>
        <w:jc w:val="both"/>
        <w:rPr>
          <w:rFonts w:ascii="Arial" w:eastAsia="Arial" w:hAnsi="Arial" w:cs="Arial"/>
          <w:color w:val="000000"/>
          <w:sz w:val="20"/>
          <w:szCs w:val="20"/>
        </w:rPr>
      </w:pPr>
      <w:r>
        <w:rPr>
          <w:rFonts w:ascii="Arial" w:eastAsia="Arial" w:hAnsi="Arial" w:cs="Arial"/>
          <w:color w:val="000000"/>
          <w:sz w:val="20"/>
          <w:szCs w:val="20"/>
        </w:rPr>
        <w:t>Local e data.</w:t>
      </w:r>
    </w:p>
    <w:p w14:paraId="645FC93F" w14:textId="77777777" w:rsidR="00A622C3" w:rsidRDefault="00A622C3">
      <w:pPr>
        <w:pStyle w:val="Normal4"/>
        <w:ind w:firstLine="1134"/>
        <w:jc w:val="both"/>
        <w:rPr>
          <w:rFonts w:ascii="Arial" w:eastAsia="Arial" w:hAnsi="Arial" w:cs="Arial"/>
          <w:b/>
          <w:bCs/>
          <w:color w:val="000000"/>
          <w:sz w:val="20"/>
          <w:szCs w:val="20"/>
        </w:rPr>
      </w:pPr>
    </w:p>
    <w:p w14:paraId="49B86CDF" w14:textId="77777777" w:rsidR="00A622C3" w:rsidRDefault="00A622C3">
      <w:pPr>
        <w:pStyle w:val="Normal4"/>
        <w:ind w:firstLine="1134"/>
        <w:jc w:val="both"/>
        <w:rPr>
          <w:rFonts w:ascii="Arial" w:eastAsia="Arial" w:hAnsi="Arial" w:cs="Arial"/>
          <w:b/>
          <w:bCs/>
          <w:color w:val="000000"/>
          <w:sz w:val="20"/>
          <w:szCs w:val="20"/>
        </w:rPr>
      </w:pPr>
    </w:p>
    <w:p w14:paraId="433591EF" w14:textId="77777777" w:rsidR="00A622C3" w:rsidRDefault="00A622C3">
      <w:pPr>
        <w:pStyle w:val="Normal4"/>
        <w:ind w:firstLine="1134"/>
        <w:jc w:val="both"/>
        <w:rPr>
          <w:rFonts w:ascii="Arial" w:eastAsia="Arial" w:hAnsi="Arial" w:cs="Arial"/>
          <w:b/>
          <w:bCs/>
          <w:color w:val="000000"/>
          <w:sz w:val="20"/>
          <w:szCs w:val="20"/>
        </w:rPr>
      </w:pPr>
    </w:p>
    <w:p w14:paraId="792C5F61" w14:textId="77777777" w:rsidR="00A622C3" w:rsidRDefault="00263D7B">
      <w:pPr>
        <w:pStyle w:val="Normal4"/>
        <w:ind w:firstLine="1134"/>
        <w:jc w:val="center"/>
        <w:rPr>
          <w:rFonts w:ascii="Arial" w:eastAsia="Arial" w:hAnsi="Arial" w:cs="Arial"/>
          <w:b/>
          <w:bCs/>
          <w:color w:val="000000"/>
          <w:sz w:val="20"/>
          <w:szCs w:val="20"/>
        </w:rPr>
      </w:pPr>
      <w:r>
        <w:rPr>
          <w:rFonts w:ascii="Arial" w:eastAsia="Arial" w:hAnsi="Arial" w:cs="Arial"/>
          <w:b/>
          <w:bCs/>
          <w:color w:val="000000"/>
          <w:sz w:val="20"/>
          <w:szCs w:val="20"/>
        </w:rPr>
        <w:t>______________________________________</w:t>
      </w:r>
    </w:p>
    <w:p w14:paraId="3653F91C" w14:textId="77777777" w:rsidR="00A622C3" w:rsidRDefault="00263D7B">
      <w:pPr>
        <w:pStyle w:val="Normal4"/>
        <w:ind w:firstLine="1134"/>
        <w:jc w:val="center"/>
        <w:rPr>
          <w:rFonts w:ascii="Arial" w:eastAsia="Arial" w:hAnsi="Arial" w:cs="Arial"/>
          <w:color w:val="000000"/>
          <w:sz w:val="20"/>
          <w:szCs w:val="20"/>
        </w:rPr>
      </w:pPr>
      <w:r>
        <w:rPr>
          <w:rFonts w:ascii="Arial" w:eastAsia="Arial" w:hAnsi="Arial" w:cs="Arial"/>
          <w:color w:val="000000"/>
          <w:sz w:val="20"/>
          <w:szCs w:val="20"/>
        </w:rPr>
        <w:t>Representante legal</w:t>
      </w:r>
    </w:p>
    <w:p w14:paraId="4E887E2A" w14:textId="77777777" w:rsidR="00A622C3" w:rsidRDefault="00A622C3">
      <w:pPr>
        <w:pStyle w:val="Normal4"/>
        <w:rPr>
          <w:rFonts w:ascii="Arial" w:eastAsia="Arial" w:hAnsi="Arial" w:cs="Arial"/>
          <w:color w:val="000000"/>
          <w:sz w:val="20"/>
          <w:szCs w:val="20"/>
        </w:rPr>
      </w:pPr>
    </w:p>
    <w:p w14:paraId="655CE6AD" w14:textId="77777777" w:rsidR="00A622C3" w:rsidRDefault="00A622C3">
      <w:pPr>
        <w:pStyle w:val="Normal4"/>
        <w:rPr>
          <w:rFonts w:ascii="Arial" w:eastAsia="Arial" w:hAnsi="Arial" w:cs="Arial"/>
          <w:color w:val="000000"/>
          <w:sz w:val="20"/>
          <w:szCs w:val="20"/>
        </w:rPr>
      </w:pPr>
    </w:p>
    <w:p w14:paraId="380A5763" w14:textId="77777777" w:rsidR="00A622C3" w:rsidRDefault="00A622C3">
      <w:pPr>
        <w:pStyle w:val="Normal4"/>
        <w:rPr>
          <w:rFonts w:ascii="Arial" w:eastAsia="Arial" w:hAnsi="Arial" w:cs="Arial"/>
          <w:color w:val="000000"/>
          <w:sz w:val="20"/>
          <w:szCs w:val="20"/>
        </w:rPr>
      </w:pPr>
    </w:p>
    <w:p w14:paraId="7FC730F3" w14:textId="77777777" w:rsidR="00A622C3" w:rsidRDefault="00263D7B">
      <w:pPr>
        <w:pStyle w:val="Ttulo2"/>
        <w:tabs>
          <w:tab w:val="left" w:pos="0"/>
        </w:tabs>
        <w:rPr>
          <w:rFonts w:ascii="Arial" w:eastAsia="Arial" w:hAnsi="Arial" w:cs="Arial"/>
          <w:sz w:val="20"/>
          <w:szCs w:val="20"/>
        </w:rPr>
      </w:pPr>
      <w:r>
        <w:br w:type="page"/>
      </w:r>
    </w:p>
    <w:p w14:paraId="17ADDF21" w14:textId="77777777" w:rsidR="00A622C3" w:rsidRDefault="00A622C3">
      <w:pPr>
        <w:pStyle w:val="Normal4"/>
        <w:rPr>
          <w:color w:val="000000"/>
        </w:rPr>
      </w:pPr>
    </w:p>
    <w:p w14:paraId="0455AA6B" w14:textId="77777777" w:rsidR="00A622C3" w:rsidRDefault="00A622C3">
      <w:pPr>
        <w:pStyle w:val="Normal4"/>
        <w:rPr>
          <w:color w:val="000000"/>
        </w:rPr>
      </w:pPr>
    </w:p>
    <w:p w14:paraId="65776B8A" w14:textId="77777777" w:rsidR="00A622C3" w:rsidRDefault="00A622C3">
      <w:pPr>
        <w:pStyle w:val="Ttulo2"/>
        <w:tabs>
          <w:tab w:val="left" w:pos="0"/>
        </w:tabs>
        <w:jc w:val="left"/>
        <w:rPr>
          <w:rFonts w:ascii="Arial" w:eastAsia="Arial" w:hAnsi="Arial" w:cs="Arial"/>
          <w:sz w:val="20"/>
          <w:szCs w:val="20"/>
        </w:rPr>
      </w:pPr>
    </w:p>
    <w:p w14:paraId="31656E77" w14:textId="77777777" w:rsidR="00A622C3" w:rsidRDefault="00263D7B">
      <w:pPr>
        <w:pStyle w:val="Ttulo2"/>
        <w:tabs>
          <w:tab w:val="left" w:pos="0"/>
        </w:tabs>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DECLARAÇÃO</w:t>
      </w:r>
    </w:p>
    <w:p w14:paraId="1B4BA333" w14:textId="77777777" w:rsidR="00A622C3" w:rsidRDefault="00A622C3">
      <w:pPr>
        <w:pStyle w:val="Normal4"/>
        <w:ind w:firstLine="1134"/>
        <w:jc w:val="center"/>
        <w:rPr>
          <w:rFonts w:ascii="Arial" w:eastAsia="Arial" w:hAnsi="Arial" w:cs="Arial"/>
          <w:b/>
          <w:bCs/>
          <w:color w:val="000000"/>
          <w:sz w:val="20"/>
          <w:szCs w:val="20"/>
        </w:rPr>
      </w:pPr>
    </w:p>
    <w:p w14:paraId="3FC09872" w14:textId="77777777" w:rsidR="00A622C3" w:rsidRDefault="00A622C3">
      <w:pPr>
        <w:pStyle w:val="Normal4"/>
        <w:ind w:firstLine="1134"/>
        <w:jc w:val="both"/>
        <w:rPr>
          <w:rFonts w:ascii="Arial" w:eastAsia="Arial" w:hAnsi="Arial" w:cs="Arial"/>
          <w:b/>
          <w:bCs/>
          <w:color w:val="000000"/>
          <w:sz w:val="20"/>
          <w:szCs w:val="20"/>
        </w:rPr>
      </w:pPr>
    </w:p>
    <w:p w14:paraId="5AA51ABD" w14:textId="77777777" w:rsidR="00A622C3" w:rsidRDefault="00A622C3">
      <w:pPr>
        <w:pStyle w:val="Normal4"/>
        <w:jc w:val="both"/>
        <w:rPr>
          <w:rFonts w:ascii="Arial" w:eastAsia="Arial" w:hAnsi="Arial" w:cs="Arial"/>
          <w:b/>
          <w:bCs/>
          <w:color w:val="000000"/>
          <w:sz w:val="20"/>
          <w:szCs w:val="20"/>
        </w:rPr>
      </w:pPr>
    </w:p>
    <w:p w14:paraId="0AFFAFE3" w14:textId="77777777" w:rsidR="00A622C3" w:rsidRDefault="00A622C3">
      <w:pPr>
        <w:pStyle w:val="Normal4"/>
        <w:ind w:firstLine="1134"/>
        <w:jc w:val="both"/>
        <w:rPr>
          <w:rFonts w:ascii="Arial" w:eastAsia="Arial" w:hAnsi="Arial" w:cs="Arial"/>
          <w:b/>
          <w:bCs/>
          <w:color w:val="000000"/>
          <w:sz w:val="20"/>
          <w:szCs w:val="20"/>
        </w:rPr>
      </w:pPr>
    </w:p>
    <w:p w14:paraId="0E0B482C" w14:textId="77777777" w:rsidR="00A622C3" w:rsidRDefault="00A622C3">
      <w:pPr>
        <w:pStyle w:val="Normal4"/>
        <w:ind w:firstLine="1134"/>
        <w:jc w:val="both"/>
        <w:rPr>
          <w:rFonts w:ascii="Arial" w:eastAsia="Arial" w:hAnsi="Arial" w:cs="Arial"/>
          <w:b/>
          <w:bCs/>
          <w:color w:val="000000"/>
          <w:sz w:val="20"/>
          <w:szCs w:val="20"/>
        </w:rPr>
      </w:pPr>
    </w:p>
    <w:p w14:paraId="61DC7602" w14:textId="77777777" w:rsidR="00A622C3" w:rsidRDefault="00263D7B">
      <w:pPr>
        <w:pStyle w:val="Normal4"/>
        <w:jc w:val="both"/>
        <w:rPr>
          <w:color w:val="000000"/>
        </w:rPr>
      </w:pPr>
      <w:r>
        <w:rPr>
          <w:rFonts w:ascii="Arial" w:eastAsia="Arial" w:hAnsi="Arial" w:cs="Arial"/>
          <w:b/>
          <w:bCs/>
          <w:color w:val="000000"/>
          <w:sz w:val="20"/>
          <w:szCs w:val="20"/>
        </w:rPr>
        <w:t xml:space="preserve">___________________________, </w:t>
      </w:r>
      <w:r>
        <w:rPr>
          <w:rFonts w:ascii="Arial" w:eastAsia="Arial" w:hAnsi="Arial" w:cs="Arial"/>
          <w:color w:val="000000"/>
          <w:sz w:val="20"/>
          <w:szCs w:val="20"/>
        </w:rPr>
        <w:t>inscrito</w:t>
      </w:r>
      <w:r>
        <w:rPr>
          <w:rFonts w:ascii="Arial" w:eastAsia="Arial" w:hAnsi="Arial" w:cs="Arial"/>
          <w:b/>
          <w:bCs/>
          <w:color w:val="000000"/>
          <w:sz w:val="20"/>
          <w:szCs w:val="20"/>
        </w:rPr>
        <w:t xml:space="preserve"> </w:t>
      </w:r>
      <w:r>
        <w:rPr>
          <w:rFonts w:ascii="Arial" w:eastAsia="Arial" w:hAnsi="Arial" w:cs="Arial"/>
          <w:color w:val="000000"/>
          <w:sz w:val="20"/>
          <w:szCs w:val="20"/>
        </w:rPr>
        <w:t>no</w:t>
      </w:r>
      <w:r>
        <w:rPr>
          <w:rFonts w:ascii="Arial" w:eastAsia="Arial" w:hAnsi="Arial" w:cs="Arial"/>
          <w:b/>
          <w:bCs/>
          <w:color w:val="000000"/>
          <w:sz w:val="20"/>
          <w:szCs w:val="20"/>
        </w:rPr>
        <w:t xml:space="preserve"> </w:t>
      </w:r>
      <w:r>
        <w:rPr>
          <w:rFonts w:ascii="Arial" w:eastAsia="Arial" w:hAnsi="Arial" w:cs="Arial"/>
          <w:color w:val="000000"/>
          <w:sz w:val="20"/>
          <w:szCs w:val="20"/>
        </w:rPr>
        <w:t xml:space="preserve">CNPJ nº __________________, por intermédio de seu representante legal o(a) Sr(a). ..................................., portador(a) da carteira de identidade nº ........................... e do CPF nº ............................., </w:t>
      </w:r>
      <w:r>
        <w:rPr>
          <w:rFonts w:ascii="Arial" w:eastAsia="Arial" w:hAnsi="Arial" w:cs="Arial"/>
          <w:b/>
          <w:bCs/>
          <w:color w:val="000000"/>
          <w:sz w:val="20"/>
          <w:szCs w:val="20"/>
        </w:rPr>
        <w:t>DECLARA</w:t>
      </w:r>
      <w:r>
        <w:rPr>
          <w:rFonts w:ascii="Arial" w:eastAsia="Arial" w:hAnsi="Arial" w:cs="Arial"/>
          <w:color w:val="000000"/>
          <w:sz w:val="20"/>
          <w:szCs w:val="20"/>
        </w:rPr>
        <w:t>, para fins Resolução nº 07/2005 do Conselho Nacional de Justiça – CNJ, que não possui sócios cônjuge, companheiro ou parente em linha reta, colateral ou por afinidade, até o terceiro grau inclusive, de membros ou juízes vinculados, ou servidor investido em cargo de direção e de assessoramento, vinculados ao TRT7ª.</w:t>
      </w:r>
    </w:p>
    <w:p w14:paraId="61A80324" w14:textId="77777777" w:rsidR="00A622C3" w:rsidRDefault="00A622C3">
      <w:pPr>
        <w:pStyle w:val="Normal4"/>
        <w:jc w:val="both"/>
        <w:rPr>
          <w:rFonts w:ascii="Arial" w:eastAsia="Arial" w:hAnsi="Arial" w:cs="Arial"/>
          <w:color w:val="000000"/>
          <w:sz w:val="20"/>
          <w:szCs w:val="20"/>
        </w:rPr>
      </w:pPr>
    </w:p>
    <w:p w14:paraId="058D62CF" w14:textId="77777777" w:rsidR="00A622C3" w:rsidRDefault="00263D7B">
      <w:pPr>
        <w:pStyle w:val="Normal4"/>
        <w:ind w:firstLine="1134"/>
        <w:jc w:val="both"/>
        <w:rPr>
          <w:rFonts w:ascii="Arial" w:eastAsia="Arial" w:hAnsi="Arial" w:cs="Arial"/>
          <w:color w:val="000000"/>
          <w:sz w:val="20"/>
          <w:szCs w:val="20"/>
        </w:rPr>
      </w:pPr>
      <w:r>
        <w:rPr>
          <w:rFonts w:ascii="Arial" w:eastAsia="Arial" w:hAnsi="Arial" w:cs="Arial"/>
          <w:color w:val="000000"/>
          <w:sz w:val="20"/>
          <w:szCs w:val="20"/>
        </w:rPr>
        <w:t>Local e data.</w:t>
      </w:r>
    </w:p>
    <w:p w14:paraId="1C1453CD" w14:textId="77777777" w:rsidR="00A622C3" w:rsidRDefault="00A622C3">
      <w:pPr>
        <w:pStyle w:val="Normal4"/>
        <w:ind w:firstLine="1134"/>
        <w:jc w:val="both"/>
        <w:rPr>
          <w:rFonts w:ascii="Arial" w:eastAsia="Arial" w:hAnsi="Arial" w:cs="Arial"/>
          <w:b/>
          <w:bCs/>
          <w:color w:val="000000"/>
          <w:sz w:val="20"/>
          <w:szCs w:val="20"/>
        </w:rPr>
      </w:pPr>
    </w:p>
    <w:p w14:paraId="52DFA694" w14:textId="77777777" w:rsidR="00A622C3" w:rsidRDefault="00A622C3">
      <w:pPr>
        <w:pStyle w:val="Normal4"/>
        <w:ind w:firstLine="1134"/>
        <w:jc w:val="both"/>
        <w:rPr>
          <w:rFonts w:ascii="Arial" w:eastAsia="Arial" w:hAnsi="Arial" w:cs="Arial"/>
          <w:b/>
          <w:bCs/>
          <w:color w:val="000000"/>
          <w:sz w:val="20"/>
          <w:szCs w:val="20"/>
        </w:rPr>
      </w:pPr>
    </w:p>
    <w:p w14:paraId="69066410" w14:textId="77777777" w:rsidR="00A622C3" w:rsidRDefault="00263D7B">
      <w:pPr>
        <w:pStyle w:val="Normal4"/>
        <w:ind w:firstLine="1134"/>
        <w:jc w:val="center"/>
        <w:rPr>
          <w:rFonts w:ascii="Arial" w:eastAsia="Arial" w:hAnsi="Arial" w:cs="Arial"/>
          <w:b/>
          <w:bCs/>
          <w:color w:val="000000"/>
          <w:sz w:val="20"/>
          <w:szCs w:val="20"/>
        </w:rPr>
      </w:pPr>
      <w:r>
        <w:rPr>
          <w:rFonts w:ascii="Arial" w:eastAsia="Arial" w:hAnsi="Arial" w:cs="Arial"/>
          <w:b/>
          <w:bCs/>
          <w:color w:val="000000"/>
          <w:sz w:val="20"/>
          <w:szCs w:val="20"/>
        </w:rPr>
        <w:t>______________________________________</w:t>
      </w:r>
    </w:p>
    <w:p w14:paraId="3539B406" w14:textId="77777777" w:rsidR="00A622C3" w:rsidRDefault="00263D7B">
      <w:pPr>
        <w:pStyle w:val="Normal4"/>
        <w:ind w:firstLine="1134"/>
        <w:jc w:val="center"/>
        <w:rPr>
          <w:rFonts w:ascii="Arial" w:eastAsia="Arial" w:hAnsi="Arial" w:cs="Arial"/>
          <w:color w:val="000000"/>
          <w:sz w:val="20"/>
          <w:szCs w:val="20"/>
        </w:rPr>
      </w:pPr>
      <w:r>
        <w:rPr>
          <w:rFonts w:ascii="Arial" w:eastAsia="Arial" w:hAnsi="Arial" w:cs="Arial"/>
          <w:color w:val="000000"/>
          <w:sz w:val="20"/>
          <w:szCs w:val="20"/>
        </w:rPr>
        <w:t xml:space="preserve">Representante legal </w:t>
      </w:r>
    </w:p>
    <w:p w14:paraId="01BC077A" w14:textId="77777777" w:rsidR="00A622C3" w:rsidRDefault="00A622C3">
      <w:pPr>
        <w:pStyle w:val="Normal4"/>
        <w:ind w:firstLine="1134"/>
        <w:jc w:val="center"/>
        <w:rPr>
          <w:rFonts w:ascii="Arial" w:eastAsia="Arial" w:hAnsi="Arial" w:cs="Arial"/>
          <w:color w:val="000000"/>
          <w:sz w:val="20"/>
          <w:szCs w:val="20"/>
        </w:rPr>
      </w:pPr>
    </w:p>
    <w:p w14:paraId="257776C3" w14:textId="77777777" w:rsidR="00A622C3" w:rsidRDefault="00A622C3">
      <w:pPr>
        <w:pStyle w:val="Normal4"/>
        <w:ind w:firstLine="1134"/>
        <w:jc w:val="center"/>
        <w:rPr>
          <w:rFonts w:ascii="Arial" w:eastAsia="Arial" w:hAnsi="Arial" w:cs="Arial"/>
          <w:color w:val="000000"/>
          <w:sz w:val="20"/>
          <w:szCs w:val="20"/>
        </w:rPr>
      </w:pPr>
    </w:p>
    <w:p w14:paraId="7313ED75" w14:textId="77777777" w:rsidR="00A622C3" w:rsidRDefault="00A622C3">
      <w:pPr>
        <w:pStyle w:val="Normal4"/>
        <w:ind w:firstLine="1134"/>
        <w:jc w:val="center"/>
        <w:rPr>
          <w:rFonts w:ascii="Arial" w:eastAsia="Arial" w:hAnsi="Arial" w:cs="Arial"/>
          <w:color w:val="000000"/>
          <w:sz w:val="20"/>
          <w:szCs w:val="20"/>
        </w:rPr>
      </w:pPr>
    </w:p>
    <w:p w14:paraId="5E899172" w14:textId="77777777" w:rsidR="00A622C3" w:rsidRDefault="00A622C3">
      <w:pPr>
        <w:pStyle w:val="Normal4"/>
        <w:ind w:firstLine="1134"/>
        <w:jc w:val="center"/>
        <w:rPr>
          <w:rFonts w:ascii="Arial" w:eastAsia="Arial" w:hAnsi="Arial" w:cs="Arial"/>
          <w:color w:val="000000"/>
          <w:sz w:val="20"/>
          <w:szCs w:val="20"/>
        </w:rPr>
      </w:pPr>
    </w:p>
    <w:p w14:paraId="5E9DAAA3" w14:textId="77777777" w:rsidR="00A622C3" w:rsidRDefault="00263D7B">
      <w:pPr>
        <w:pStyle w:val="Normal4"/>
        <w:spacing w:line="360" w:lineRule="auto"/>
        <w:ind w:firstLine="1134"/>
        <w:jc w:val="center"/>
        <w:rPr>
          <w:rFonts w:ascii="Arial" w:eastAsia="Arial" w:hAnsi="Arial" w:cs="Arial"/>
          <w:sz w:val="20"/>
          <w:szCs w:val="20"/>
        </w:rPr>
      </w:pPr>
      <w:r>
        <w:br w:type="page"/>
      </w:r>
    </w:p>
    <w:p w14:paraId="61A82274" w14:textId="77777777" w:rsidR="00A622C3" w:rsidRDefault="00A622C3">
      <w:pPr>
        <w:pStyle w:val="Normal4"/>
        <w:spacing w:line="360" w:lineRule="auto"/>
        <w:ind w:firstLine="1134"/>
        <w:jc w:val="center"/>
        <w:rPr>
          <w:rFonts w:ascii="Arial" w:eastAsia="Arial" w:hAnsi="Arial" w:cs="Arial"/>
          <w:sz w:val="20"/>
          <w:szCs w:val="20"/>
        </w:rPr>
      </w:pPr>
    </w:p>
    <w:p w14:paraId="0A3EA3EB" w14:textId="77777777" w:rsidR="00A622C3" w:rsidRDefault="00A622C3">
      <w:pPr>
        <w:pStyle w:val="Normal4"/>
        <w:spacing w:line="360" w:lineRule="auto"/>
        <w:ind w:firstLine="1134"/>
        <w:jc w:val="center"/>
        <w:rPr>
          <w:rFonts w:ascii="Arial" w:eastAsia="Arial" w:hAnsi="Arial" w:cs="Arial"/>
          <w:color w:val="000000"/>
          <w:sz w:val="20"/>
          <w:szCs w:val="20"/>
        </w:rPr>
      </w:pPr>
    </w:p>
    <w:p w14:paraId="202337CE" w14:textId="77777777" w:rsidR="00A622C3" w:rsidRDefault="00A622C3">
      <w:pPr>
        <w:pStyle w:val="Ttulo2"/>
        <w:tabs>
          <w:tab w:val="left" w:pos="0"/>
        </w:tabs>
        <w:jc w:val="left"/>
        <w:rPr>
          <w:rFonts w:ascii="Arial" w:eastAsia="Arial" w:hAnsi="Arial" w:cs="Arial"/>
        </w:rPr>
      </w:pPr>
    </w:p>
    <w:p w14:paraId="02208D9E" w14:textId="77777777" w:rsidR="00A622C3" w:rsidRDefault="00263D7B">
      <w:pPr>
        <w:pStyle w:val="Ttulo2"/>
        <w:tabs>
          <w:tab w:val="left" w:pos="0"/>
        </w:tabs>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DECLARAÇÃO</w:t>
      </w:r>
    </w:p>
    <w:p w14:paraId="35E58738" w14:textId="77777777" w:rsidR="00A622C3" w:rsidRDefault="00A622C3">
      <w:pPr>
        <w:pStyle w:val="Normal4"/>
        <w:jc w:val="both"/>
        <w:rPr>
          <w:rFonts w:ascii="Arial" w:eastAsia="Arial" w:hAnsi="Arial" w:cs="Arial"/>
          <w:color w:val="000000"/>
          <w:sz w:val="20"/>
          <w:szCs w:val="20"/>
        </w:rPr>
      </w:pPr>
    </w:p>
    <w:p w14:paraId="41813840" w14:textId="77777777" w:rsidR="00A622C3" w:rsidRDefault="00A622C3">
      <w:pPr>
        <w:pStyle w:val="Normal4"/>
        <w:jc w:val="both"/>
        <w:rPr>
          <w:rFonts w:ascii="Arial" w:eastAsia="Arial" w:hAnsi="Arial" w:cs="Arial"/>
          <w:color w:val="000000"/>
          <w:sz w:val="20"/>
          <w:szCs w:val="20"/>
        </w:rPr>
      </w:pPr>
    </w:p>
    <w:p w14:paraId="1557D5FB" w14:textId="77777777" w:rsidR="00A622C3" w:rsidRDefault="00A622C3">
      <w:pPr>
        <w:pStyle w:val="Normal4"/>
        <w:jc w:val="both"/>
        <w:rPr>
          <w:rFonts w:ascii="Arial" w:eastAsia="Arial" w:hAnsi="Arial" w:cs="Arial"/>
          <w:color w:val="000000"/>
          <w:sz w:val="20"/>
          <w:szCs w:val="20"/>
        </w:rPr>
      </w:pPr>
    </w:p>
    <w:p w14:paraId="65B8B2C8" w14:textId="77777777" w:rsidR="00A622C3" w:rsidRDefault="00263D7B">
      <w:pPr>
        <w:pStyle w:val="Normal4"/>
        <w:jc w:val="both"/>
        <w:rPr>
          <w:rFonts w:ascii="Arial" w:eastAsia="Arial" w:hAnsi="Arial" w:cs="Arial"/>
          <w:color w:val="000000"/>
          <w:sz w:val="20"/>
          <w:szCs w:val="20"/>
        </w:rPr>
      </w:pPr>
      <w:r>
        <w:rPr>
          <w:rFonts w:ascii="Arial" w:eastAsia="Arial" w:hAnsi="Arial" w:cs="Arial"/>
          <w:color w:val="000000"/>
          <w:sz w:val="20"/>
          <w:szCs w:val="20"/>
        </w:rPr>
        <w:t>................................................, portador(a) da carteira de identidade nº .................................. e do CPF nº ......................................................., DECLARA que não é servidor ou dirigente do Tribunal Regional do Trabalho da 7ª Região, nos termos do inciso IV do art. 14 da Lei nº 14.133/2021.</w:t>
      </w:r>
    </w:p>
    <w:p w14:paraId="79AF9020" w14:textId="77777777" w:rsidR="00A622C3" w:rsidRDefault="00A622C3">
      <w:pPr>
        <w:pStyle w:val="Normal4"/>
        <w:jc w:val="both"/>
        <w:rPr>
          <w:rFonts w:ascii="Arial" w:eastAsia="Arial" w:hAnsi="Arial" w:cs="Arial"/>
          <w:color w:val="000000"/>
          <w:sz w:val="20"/>
          <w:szCs w:val="20"/>
        </w:rPr>
      </w:pPr>
    </w:p>
    <w:p w14:paraId="5F3903EC" w14:textId="77777777" w:rsidR="00A622C3" w:rsidRDefault="00A622C3">
      <w:pPr>
        <w:pStyle w:val="Normal4"/>
        <w:jc w:val="both"/>
        <w:rPr>
          <w:rFonts w:ascii="Arial" w:eastAsia="Arial" w:hAnsi="Arial" w:cs="Arial"/>
          <w:color w:val="000000"/>
          <w:sz w:val="20"/>
          <w:szCs w:val="20"/>
        </w:rPr>
      </w:pPr>
    </w:p>
    <w:p w14:paraId="29586EF2" w14:textId="77777777" w:rsidR="00A622C3" w:rsidRDefault="00263D7B">
      <w:pPr>
        <w:pStyle w:val="Normal4"/>
        <w:jc w:val="center"/>
        <w:rPr>
          <w:rFonts w:ascii="Arial" w:eastAsia="Arial" w:hAnsi="Arial" w:cs="Arial"/>
          <w:color w:val="000000"/>
          <w:sz w:val="20"/>
          <w:szCs w:val="20"/>
        </w:rPr>
      </w:pPr>
      <w:r>
        <w:rPr>
          <w:rFonts w:ascii="Arial" w:eastAsia="Arial" w:hAnsi="Arial" w:cs="Arial"/>
          <w:color w:val="000000"/>
          <w:sz w:val="20"/>
          <w:szCs w:val="20"/>
        </w:rPr>
        <w:t>Cidade/UF, ...........................................</w:t>
      </w:r>
    </w:p>
    <w:p w14:paraId="40A4F735" w14:textId="77777777" w:rsidR="00A622C3" w:rsidRDefault="00A622C3">
      <w:pPr>
        <w:pStyle w:val="Normal4"/>
        <w:jc w:val="center"/>
        <w:rPr>
          <w:rFonts w:ascii="Arial" w:eastAsia="Arial" w:hAnsi="Arial" w:cs="Arial"/>
          <w:color w:val="000000"/>
          <w:sz w:val="20"/>
          <w:szCs w:val="20"/>
        </w:rPr>
      </w:pPr>
    </w:p>
    <w:p w14:paraId="13AC7610" w14:textId="77777777" w:rsidR="00A622C3" w:rsidRDefault="00A622C3">
      <w:pPr>
        <w:pStyle w:val="Normal4"/>
        <w:jc w:val="center"/>
        <w:rPr>
          <w:rFonts w:ascii="Arial" w:eastAsia="Arial" w:hAnsi="Arial" w:cs="Arial"/>
          <w:color w:val="000000"/>
          <w:sz w:val="20"/>
          <w:szCs w:val="20"/>
        </w:rPr>
      </w:pPr>
    </w:p>
    <w:p w14:paraId="5A39F411" w14:textId="77777777" w:rsidR="00A622C3" w:rsidRDefault="00A622C3">
      <w:pPr>
        <w:pStyle w:val="Normal4"/>
        <w:jc w:val="center"/>
        <w:rPr>
          <w:rFonts w:ascii="Arial" w:eastAsia="Arial" w:hAnsi="Arial" w:cs="Arial"/>
          <w:color w:val="000000"/>
          <w:sz w:val="20"/>
          <w:szCs w:val="20"/>
        </w:rPr>
      </w:pPr>
    </w:p>
    <w:p w14:paraId="7C55091D" w14:textId="77777777" w:rsidR="00A622C3" w:rsidRDefault="00263D7B">
      <w:pPr>
        <w:pStyle w:val="Normal4"/>
        <w:jc w:val="center"/>
        <w:rPr>
          <w:rFonts w:ascii="Arial" w:eastAsia="Arial" w:hAnsi="Arial" w:cs="Arial"/>
          <w:color w:val="000000"/>
          <w:sz w:val="20"/>
          <w:szCs w:val="20"/>
        </w:rPr>
      </w:pPr>
      <w:r>
        <w:rPr>
          <w:rFonts w:ascii="Arial" w:eastAsia="Arial" w:hAnsi="Arial" w:cs="Arial"/>
          <w:color w:val="000000"/>
          <w:sz w:val="20"/>
          <w:szCs w:val="20"/>
        </w:rPr>
        <w:t>______________________________________</w:t>
      </w:r>
    </w:p>
    <w:p w14:paraId="654B8EAD" w14:textId="77777777" w:rsidR="00A622C3" w:rsidRDefault="00263D7B">
      <w:pPr>
        <w:pStyle w:val="Normal4"/>
        <w:jc w:val="center"/>
        <w:rPr>
          <w:rFonts w:ascii="Arial" w:eastAsia="Arial" w:hAnsi="Arial" w:cs="Arial"/>
          <w:color w:val="000000"/>
          <w:sz w:val="20"/>
          <w:szCs w:val="20"/>
        </w:rPr>
      </w:pPr>
      <w:r>
        <w:rPr>
          <w:rFonts w:ascii="Arial" w:eastAsia="Arial" w:hAnsi="Arial" w:cs="Arial"/>
          <w:color w:val="000000"/>
          <w:sz w:val="20"/>
          <w:szCs w:val="20"/>
        </w:rPr>
        <w:t>Assinatura</w:t>
      </w:r>
    </w:p>
    <w:p w14:paraId="1EAD677B" w14:textId="77777777" w:rsidR="00A622C3" w:rsidRDefault="00A622C3">
      <w:pPr>
        <w:pStyle w:val="Normal4"/>
        <w:tabs>
          <w:tab w:val="left" w:pos="0"/>
        </w:tabs>
        <w:spacing w:line="276" w:lineRule="auto"/>
        <w:ind w:right="284"/>
        <w:jc w:val="both"/>
        <w:rPr>
          <w:rFonts w:ascii="Arial" w:eastAsia="Arial" w:hAnsi="Arial" w:cs="Arial"/>
          <w:color w:val="000000"/>
          <w:sz w:val="20"/>
          <w:szCs w:val="20"/>
        </w:rPr>
      </w:pPr>
    </w:p>
    <w:p w14:paraId="7D678AFC" w14:textId="77777777" w:rsidR="00A622C3" w:rsidRDefault="00263D7B">
      <w:pPr>
        <w:pStyle w:val="Normal4"/>
        <w:tabs>
          <w:tab w:val="left" w:pos="0"/>
        </w:tabs>
        <w:spacing w:line="276" w:lineRule="auto"/>
        <w:ind w:right="284"/>
        <w:jc w:val="both"/>
        <w:rPr>
          <w:rFonts w:ascii="Arial" w:eastAsia="Arial" w:hAnsi="Arial" w:cs="Arial"/>
          <w:color w:val="000000"/>
          <w:sz w:val="20"/>
          <w:szCs w:val="20"/>
        </w:rPr>
      </w:pPr>
      <w:r>
        <w:br w:type="page"/>
      </w:r>
    </w:p>
    <w:p w14:paraId="084BD352" w14:textId="77777777" w:rsidR="00A622C3" w:rsidRDefault="00A622C3">
      <w:pPr>
        <w:pStyle w:val="Normal4"/>
        <w:tabs>
          <w:tab w:val="left" w:pos="0"/>
        </w:tabs>
        <w:spacing w:line="276" w:lineRule="auto"/>
        <w:ind w:right="284"/>
        <w:jc w:val="both"/>
        <w:rPr>
          <w:rFonts w:ascii="Arial" w:eastAsia="Arial" w:hAnsi="Arial" w:cs="Arial"/>
          <w:color w:val="000000"/>
          <w:sz w:val="20"/>
          <w:szCs w:val="20"/>
        </w:rPr>
      </w:pPr>
    </w:p>
    <w:p w14:paraId="5FF6A84F" w14:textId="77777777" w:rsidR="00A622C3" w:rsidRDefault="00A622C3">
      <w:pPr>
        <w:pStyle w:val="Normal4"/>
        <w:tabs>
          <w:tab w:val="left" w:pos="0"/>
        </w:tabs>
        <w:spacing w:line="276" w:lineRule="auto"/>
        <w:ind w:right="284"/>
        <w:jc w:val="both"/>
        <w:rPr>
          <w:rFonts w:ascii="Arial" w:eastAsia="Arial" w:hAnsi="Arial" w:cs="Arial"/>
          <w:color w:val="000000"/>
          <w:sz w:val="20"/>
          <w:szCs w:val="20"/>
        </w:rPr>
      </w:pPr>
    </w:p>
    <w:p w14:paraId="14A3CF65" w14:textId="77777777" w:rsidR="00A622C3" w:rsidRDefault="00A622C3">
      <w:pPr>
        <w:pStyle w:val="Normal4"/>
        <w:tabs>
          <w:tab w:val="left" w:pos="0"/>
        </w:tabs>
        <w:spacing w:line="276" w:lineRule="auto"/>
        <w:ind w:right="284"/>
        <w:jc w:val="both"/>
        <w:rPr>
          <w:rFonts w:ascii="Arial" w:eastAsia="Arial" w:hAnsi="Arial" w:cs="Arial"/>
          <w:color w:val="000000"/>
          <w:sz w:val="20"/>
          <w:szCs w:val="20"/>
        </w:rPr>
      </w:pPr>
    </w:p>
    <w:p w14:paraId="6B58105C" w14:textId="77777777" w:rsidR="00A622C3" w:rsidRDefault="00263D7B">
      <w:pPr>
        <w:pStyle w:val="Normal4"/>
        <w:widowControl/>
        <w:pBdr>
          <w:top w:val="nil"/>
          <w:left w:val="nil"/>
          <w:bottom w:val="nil"/>
          <w:right w:val="nil"/>
          <w:between w:val="nil"/>
        </w:pBdr>
        <w:spacing w:before="280"/>
        <w:jc w:val="center"/>
        <w:rPr>
          <w:color w:val="000000"/>
        </w:rPr>
      </w:pPr>
      <w:r>
        <w:rPr>
          <w:rFonts w:ascii="Arial" w:eastAsia="Arial" w:hAnsi="Arial" w:cs="Arial"/>
          <w:b/>
          <w:bCs/>
          <w:color w:val="000000"/>
        </w:rPr>
        <w:t>DECLARAÇÃO</w:t>
      </w:r>
    </w:p>
    <w:p w14:paraId="2C787BE1" w14:textId="77777777" w:rsidR="00A622C3" w:rsidRDefault="00A622C3">
      <w:pPr>
        <w:pStyle w:val="Normal4"/>
        <w:widowControl/>
        <w:pBdr>
          <w:top w:val="nil"/>
          <w:left w:val="nil"/>
          <w:bottom w:val="nil"/>
          <w:right w:val="nil"/>
          <w:between w:val="nil"/>
        </w:pBdr>
        <w:spacing w:before="280"/>
        <w:rPr>
          <w:color w:val="000000"/>
        </w:rPr>
      </w:pPr>
    </w:p>
    <w:p w14:paraId="2535344B" w14:textId="77777777" w:rsidR="00A622C3" w:rsidRDefault="00A622C3">
      <w:pPr>
        <w:pStyle w:val="Normal4"/>
        <w:widowControl/>
        <w:pBdr>
          <w:top w:val="nil"/>
          <w:left w:val="nil"/>
          <w:bottom w:val="nil"/>
          <w:right w:val="nil"/>
          <w:between w:val="nil"/>
        </w:pBdr>
        <w:spacing w:before="280"/>
        <w:rPr>
          <w:color w:val="000000"/>
        </w:rPr>
      </w:pPr>
    </w:p>
    <w:p w14:paraId="0523D4A7" w14:textId="77777777" w:rsidR="00A622C3" w:rsidRDefault="00A622C3">
      <w:pPr>
        <w:pStyle w:val="Normal4"/>
        <w:widowControl/>
        <w:pBdr>
          <w:top w:val="nil"/>
          <w:left w:val="nil"/>
          <w:bottom w:val="nil"/>
          <w:right w:val="nil"/>
          <w:between w:val="nil"/>
        </w:pBdr>
        <w:spacing w:before="280" w:line="360" w:lineRule="auto"/>
        <w:ind w:firstLine="1134"/>
        <w:jc w:val="center"/>
        <w:rPr>
          <w:color w:val="000000"/>
        </w:rPr>
      </w:pPr>
    </w:p>
    <w:p w14:paraId="4AA1AF02" w14:textId="77777777" w:rsidR="00A622C3" w:rsidRDefault="00A622C3">
      <w:pPr>
        <w:pStyle w:val="Normal4"/>
        <w:widowControl/>
        <w:pBdr>
          <w:top w:val="nil"/>
          <w:left w:val="nil"/>
          <w:bottom w:val="nil"/>
          <w:right w:val="nil"/>
          <w:between w:val="nil"/>
        </w:pBdr>
        <w:spacing w:before="280"/>
        <w:rPr>
          <w:color w:val="000000"/>
        </w:rPr>
      </w:pPr>
    </w:p>
    <w:p w14:paraId="37C3BD3D" w14:textId="77777777" w:rsidR="00A622C3" w:rsidRDefault="00263D7B">
      <w:pPr>
        <w:pStyle w:val="Normal4"/>
        <w:widowControl/>
        <w:pBdr>
          <w:top w:val="nil"/>
          <w:left w:val="nil"/>
          <w:bottom w:val="nil"/>
          <w:right w:val="nil"/>
          <w:between w:val="nil"/>
        </w:pBdr>
        <w:spacing w:before="280" w:line="360" w:lineRule="auto"/>
        <w:jc w:val="both"/>
        <w:rPr>
          <w:color w:val="000000"/>
        </w:rPr>
      </w:pPr>
      <w:r>
        <w:rPr>
          <w:rFonts w:ascii="Arial" w:eastAsia="Arial" w:hAnsi="Arial" w:cs="Arial"/>
          <w:color w:val="000000"/>
          <w:sz w:val="20"/>
          <w:szCs w:val="20"/>
        </w:rPr>
        <w:t>_____________________________________, inscrita no CNPJ nº ________________________, por intermédio de seu representante legal o(a) Sr(a). __________________________________________, portador(a) da carteira de identidade nº _____________________ e do CPF nº __________________, DECLARA, para fins de incidência do Imposto Sobre Serviço, à luz do art. 236-A, da Lei Complementar nº 159, de 26 de dezembro de 2013 (Código Tributário do Município de Fortaleza), que é domiciliada no município de _______________ e que não possui estabelecimento, unidade econômica ou profissional em Fortaleza/CE.</w:t>
      </w:r>
    </w:p>
    <w:p w14:paraId="6B3F9B02" w14:textId="77777777" w:rsidR="00A622C3" w:rsidRDefault="00A622C3">
      <w:pPr>
        <w:pStyle w:val="Normal4"/>
        <w:widowControl/>
        <w:pBdr>
          <w:top w:val="nil"/>
          <w:left w:val="nil"/>
          <w:bottom w:val="nil"/>
          <w:right w:val="nil"/>
          <w:between w:val="nil"/>
        </w:pBdr>
        <w:spacing w:before="280" w:line="360" w:lineRule="auto"/>
        <w:rPr>
          <w:color w:val="000000"/>
        </w:rPr>
      </w:pPr>
    </w:p>
    <w:p w14:paraId="022A915E" w14:textId="77777777" w:rsidR="00A622C3" w:rsidRDefault="00263D7B">
      <w:pPr>
        <w:pStyle w:val="Normal4"/>
        <w:widowControl/>
        <w:pBdr>
          <w:top w:val="nil"/>
          <w:left w:val="nil"/>
          <w:bottom w:val="nil"/>
          <w:right w:val="nil"/>
          <w:between w:val="nil"/>
        </w:pBdr>
        <w:spacing w:before="280" w:line="360" w:lineRule="auto"/>
        <w:ind w:right="284"/>
        <w:rPr>
          <w:color w:val="000000"/>
        </w:rPr>
      </w:pPr>
      <w:r>
        <w:rPr>
          <w:rFonts w:ascii="Arial" w:eastAsia="Arial" w:hAnsi="Arial" w:cs="Arial"/>
          <w:color w:val="000000"/>
          <w:sz w:val="20"/>
          <w:szCs w:val="20"/>
        </w:rPr>
        <w:t xml:space="preserve">Local e data. __________________________ </w:t>
      </w:r>
    </w:p>
    <w:p w14:paraId="36177D85" w14:textId="77777777" w:rsidR="00A622C3" w:rsidRDefault="00A622C3">
      <w:pPr>
        <w:pStyle w:val="Normal4"/>
        <w:tabs>
          <w:tab w:val="left" w:pos="0"/>
        </w:tabs>
        <w:spacing w:line="276" w:lineRule="auto"/>
        <w:ind w:right="284"/>
        <w:jc w:val="both"/>
        <w:rPr>
          <w:rFonts w:ascii="Arial" w:eastAsia="Arial" w:hAnsi="Arial" w:cs="Arial"/>
          <w:color w:val="000000"/>
          <w:sz w:val="20"/>
          <w:szCs w:val="20"/>
        </w:rPr>
      </w:pPr>
    </w:p>
    <w:sectPr w:rsidR="00A622C3" w:rsidSect="00A622C3">
      <w:pgSz w:w="11906" w:h="16838"/>
      <w:pgMar w:top="1134" w:right="1134"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8CD4D" w14:textId="77777777" w:rsidR="00D365CE" w:rsidRDefault="00D365CE" w:rsidP="00A622C3">
      <w:r>
        <w:separator/>
      </w:r>
    </w:p>
  </w:endnote>
  <w:endnote w:type="continuationSeparator" w:id="0">
    <w:p w14:paraId="423F921A" w14:textId="77777777" w:rsidR="00D365CE" w:rsidRDefault="00D365CE" w:rsidP="00A6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charset w:val="00"/>
    <w:family w:val="roman"/>
    <w:pitch w:val="variable"/>
    <w:sig w:usb0="00000287" w:usb1="00000000" w:usb2="00000000" w:usb3="00000000" w:csb0="0000009F" w:csb1="00000000"/>
    <w:embedBold r:id="rId1" w:fontKey="{F96B0F14-58AB-4DDD-9C7E-2F2FF4E6EE6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E70C16F2-9C70-43CD-8D6E-A0B33004E503}"/>
    <w:embedBold r:id="rId3" w:fontKey="{BBCFDCFA-5935-4D5D-80DB-2017AC47342B}"/>
    <w:embedBoldItalic r:id="rId4" w:fontKey="{B3095378-6263-435C-88E4-F65E627101FF}"/>
  </w:font>
  <w:font w:name="Calibri">
    <w:panose1 w:val="020F0502020204030204"/>
    <w:charset w:val="00"/>
    <w:family w:val="swiss"/>
    <w:pitch w:val="variable"/>
    <w:sig w:usb0="E4002EFF" w:usb1="C200247B" w:usb2="00000009" w:usb3="00000000" w:csb0="000001FF" w:csb1="00000000"/>
    <w:embedRegular r:id="rId5" w:fontKey="{5DCC5B5E-E19C-4DC1-93E2-BC5ECBFC533D}"/>
    <w:embedBold r:id="rId6" w:fontKey="{63633492-C1C2-47B2-8FB0-60F673CFDBB2}"/>
    <w:embedBoldItalic r:id="rId7" w:fontKey="{0867BDFB-B828-40C6-B31E-E07825EE3903}"/>
  </w:font>
  <w:font w:name="Tahoma">
    <w:panose1 w:val="020B0604030504040204"/>
    <w:charset w:val="00"/>
    <w:family w:val="swiss"/>
    <w:notTrueType/>
    <w:pitch w:val="variable"/>
    <w:sig w:usb0="00000003" w:usb1="00000000" w:usb2="00000000" w:usb3="00000000" w:csb0="00000001" w:csb1="00000000"/>
  </w:font>
  <w:font w:name="Ecofont_Spranq_eco_Sans">
    <w:altName w:val="Calibri"/>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91DCE" w14:textId="77777777" w:rsidR="00D365CE" w:rsidRDefault="00D365CE" w:rsidP="00A622C3">
      <w:r>
        <w:separator/>
      </w:r>
    </w:p>
  </w:footnote>
  <w:footnote w:type="continuationSeparator" w:id="0">
    <w:p w14:paraId="1F5CF829" w14:textId="77777777" w:rsidR="00D365CE" w:rsidRDefault="00D365CE" w:rsidP="00A62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6C23" w14:textId="77777777" w:rsidR="00A622C3" w:rsidRDefault="00A622C3">
    <w:pPr>
      <w:pStyle w:val="Normal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87220"/>
    <w:multiLevelType w:val="multilevel"/>
    <w:tmpl w:val="F180716A"/>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26E96297"/>
    <w:multiLevelType w:val="multilevel"/>
    <w:tmpl w:val="F71CA598"/>
    <w:lvl w:ilvl="0">
      <w:start w:val="7"/>
      <w:numFmt w:val="decimal"/>
      <w:lvlText w:val="%1."/>
      <w:lvlJc w:val="left"/>
      <w:pPr>
        <w:ind w:left="360" w:hanging="360"/>
      </w:pPr>
    </w:lvl>
    <w:lvl w:ilvl="1">
      <w:start w:val="4"/>
      <w:numFmt w:val="decimal"/>
      <w:pStyle w:val="Nivel2"/>
      <w:lvlText w:val="%1.%2."/>
      <w:lvlJc w:val="left"/>
      <w:pPr>
        <w:ind w:left="468" w:hanging="360"/>
      </w:pPr>
    </w:lvl>
    <w:lvl w:ilvl="2">
      <w:start w:val="1"/>
      <w:numFmt w:val="decimal"/>
      <w:pStyle w:val="Nivel3"/>
      <w:lvlText w:val="%1.%2.%3."/>
      <w:lvlJc w:val="left"/>
      <w:pPr>
        <w:ind w:left="936" w:hanging="720"/>
      </w:pPr>
    </w:lvl>
    <w:lvl w:ilvl="3">
      <w:start w:val="1"/>
      <w:numFmt w:val="decimal"/>
      <w:pStyle w:val="Nivel4"/>
      <w:lvlText w:val="%1.%2.%3.%4."/>
      <w:lvlJc w:val="left"/>
      <w:pPr>
        <w:ind w:left="1044" w:hanging="720"/>
      </w:pPr>
    </w:lvl>
    <w:lvl w:ilvl="4">
      <w:start w:val="1"/>
      <w:numFmt w:val="decimal"/>
      <w:lvlText w:val="%1.%2.%3.%4.%5."/>
      <w:lvlJc w:val="left"/>
      <w:pPr>
        <w:ind w:left="1512" w:hanging="1080"/>
      </w:pPr>
    </w:lvl>
    <w:lvl w:ilvl="5">
      <w:start w:val="1"/>
      <w:numFmt w:val="decimal"/>
      <w:lvlText w:val="%1.%2.%3.%4.%5.%6."/>
      <w:lvlJc w:val="left"/>
      <w:pPr>
        <w:ind w:left="1620" w:hanging="1080"/>
      </w:pPr>
    </w:lvl>
    <w:lvl w:ilvl="6">
      <w:start w:val="1"/>
      <w:numFmt w:val="decimal"/>
      <w:lvlText w:val="%1.%2.%3.%4.%5.%6.%7."/>
      <w:lvlJc w:val="left"/>
      <w:pPr>
        <w:ind w:left="2088" w:hanging="1440"/>
      </w:pPr>
    </w:lvl>
    <w:lvl w:ilvl="7">
      <w:start w:val="1"/>
      <w:numFmt w:val="decimal"/>
      <w:lvlText w:val="%1.%2.%3.%4.%5.%6.%7.%8."/>
      <w:lvlJc w:val="left"/>
      <w:pPr>
        <w:ind w:left="2196" w:hanging="1440"/>
      </w:pPr>
    </w:lvl>
    <w:lvl w:ilvl="8">
      <w:start w:val="1"/>
      <w:numFmt w:val="decimal"/>
      <w:lvlText w:val="%1.%2.%3.%4.%5.%6.%7.%8.%9."/>
      <w:lvlJc w:val="left"/>
      <w:pPr>
        <w:ind w:left="2664" w:hanging="1800"/>
      </w:pPr>
    </w:lvl>
  </w:abstractNum>
  <w:abstractNum w:abstractNumId="2" w15:restartNumberingAfterBreak="0">
    <w:nsid w:val="301422D0"/>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E922BC4"/>
    <w:multiLevelType w:val="multilevel"/>
    <w:tmpl w:val="A47A4C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22C3"/>
    <w:rsid w:val="00065B08"/>
    <w:rsid w:val="001F3B63"/>
    <w:rsid w:val="00263D7B"/>
    <w:rsid w:val="003571FB"/>
    <w:rsid w:val="00482B2F"/>
    <w:rsid w:val="004B3F91"/>
    <w:rsid w:val="007D00BA"/>
    <w:rsid w:val="00956905"/>
    <w:rsid w:val="00A622C3"/>
    <w:rsid w:val="00B42115"/>
    <w:rsid w:val="00BE13AE"/>
    <w:rsid w:val="00D365CE"/>
    <w:rsid w:val="00E05AC3"/>
    <w:rsid w:val="00EB1028"/>
    <w:rsid w:val="00EE34BC"/>
    <w:rsid w:val="00F948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2B7B"/>
  <w15:docId w15:val="{6C396D47-5C2D-4BB2-981C-6E5C77BF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843"/>
  </w:style>
  <w:style w:type="paragraph" w:styleId="Ttulo1">
    <w:name w:val="heading 1"/>
    <w:basedOn w:val="Normal1"/>
    <w:next w:val="Normal1"/>
    <w:link w:val="Ttulo1Char"/>
    <w:rsid w:val="00A622C3"/>
    <w:pPr>
      <w:keepNext/>
      <w:widowControl/>
      <w:pBdr>
        <w:top w:val="nil"/>
        <w:left w:val="nil"/>
        <w:bottom w:val="nil"/>
        <w:right w:val="nil"/>
        <w:between w:val="nil"/>
      </w:pBdr>
      <w:tabs>
        <w:tab w:val="left" w:pos="-432"/>
        <w:tab w:val="left" w:pos="10728"/>
      </w:tabs>
      <w:ind w:right="49" w:firstLine="2552"/>
      <w:jc w:val="both"/>
      <w:outlineLvl w:val="0"/>
    </w:pPr>
    <w:rPr>
      <w:rFonts w:ascii="CG Times" w:eastAsia="CG Times" w:hAnsi="CG Times" w:cs="CG Times"/>
      <w:b/>
      <w:bCs/>
      <w:color w:val="000000"/>
    </w:rPr>
  </w:style>
  <w:style w:type="paragraph" w:styleId="Ttulo2">
    <w:name w:val="heading 2"/>
    <w:basedOn w:val="Normal1"/>
    <w:next w:val="Normal1"/>
    <w:link w:val="Ttulo2Char"/>
    <w:rsid w:val="00A622C3"/>
    <w:pPr>
      <w:keepNext/>
      <w:widowControl/>
      <w:pBdr>
        <w:top w:val="nil"/>
        <w:left w:val="nil"/>
        <w:bottom w:val="nil"/>
        <w:right w:val="nil"/>
        <w:between w:val="nil"/>
      </w:pBdr>
      <w:jc w:val="center"/>
      <w:outlineLvl w:val="1"/>
    </w:pPr>
    <w:rPr>
      <w:b/>
      <w:bCs/>
      <w:color w:val="000000"/>
    </w:rPr>
  </w:style>
  <w:style w:type="paragraph" w:styleId="Ttulo3">
    <w:name w:val="heading 3"/>
    <w:basedOn w:val="Normal1"/>
    <w:next w:val="Normal1"/>
    <w:link w:val="Ttulo3Char"/>
    <w:rsid w:val="00A622C3"/>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1"/>
    <w:next w:val="Normal1"/>
    <w:link w:val="Ttulo4Char"/>
    <w:rsid w:val="00A622C3"/>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1"/>
    <w:next w:val="Normal1"/>
    <w:link w:val="Ttulo5Char"/>
    <w:rsid w:val="00A622C3"/>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1"/>
    <w:next w:val="Normal1"/>
    <w:link w:val="Ttulo6Char"/>
    <w:rsid w:val="00A622C3"/>
    <w:pPr>
      <w:keepNext/>
      <w:keepLines/>
      <w:pBdr>
        <w:top w:val="nil"/>
        <w:left w:val="nil"/>
        <w:bottom w:val="nil"/>
        <w:right w:val="nil"/>
        <w:between w:val="nil"/>
      </w:pBdr>
      <w:spacing w:before="200" w:after="40"/>
      <w:outlineLvl w:val="5"/>
    </w:pPr>
    <w:rPr>
      <w:b/>
      <w:b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A622C3"/>
    <w:tblPr>
      <w:tblCellMar>
        <w:top w:w="100" w:type="dxa"/>
        <w:left w:w="100" w:type="dxa"/>
        <w:bottom w:w="100" w:type="dxa"/>
        <w:right w:w="100" w:type="dxa"/>
      </w:tblCellMar>
    </w:tblPr>
  </w:style>
  <w:style w:type="paragraph" w:customStyle="1" w:styleId="Normal1">
    <w:name w:val="Normal1"/>
    <w:rsid w:val="00A622C3"/>
  </w:style>
  <w:style w:type="paragraph" w:styleId="Ttulo">
    <w:name w:val="Title"/>
    <w:basedOn w:val="Normal1"/>
    <w:next w:val="Normal1"/>
    <w:link w:val="TtuloChar"/>
    <w:rsid w:val="00A622C3"/>
    <w:pPr>
      <w:keepNext/>
      <w:pBdr>
        <w:top w:val="nil"/>
        <w:left w:val="nil"/>
        <w:bottom w:val="nil"/>
        <w:right w:val="nil"/>
        <w:between w:val="nil"/>
      </w:pBdr>
      <w:spacing w:before="240" w:after="120"/>
    </w:pPr>
    <w:rPr>
      <w:rFonts w:ascii="Arial" w:eastAsia="Arial" w:hAnsi="Arial" w:cs="Arial"/>
      <w:color w:val="000000"/>
      <w:sz w:val="28"/>
      <w:szCs w:val="28"/>
    </w:rPr>
  </w:style>
  <w:style w:type="table" w:customStyle="1" w:styleId="TableNormal0">
    <w:name w:val="TableNormal"/>
    <w:rsid w:val="00A622C3"/>
    <w:tblPr>
      <w:tblCellMar>
        <w:top w:w="100" w:type="dxa"/>
        <w:left w:w="100" w:type="dxa"/>
        <w:bottom w:w="100" w:type="dxa"/>
        <w:right w:w="100" w:type="dxa"/>
      </w:tblCellMar>
    </w:tblPr>
  </w:style>
  <w:style w:type="paragraph" w:customStyle="1" w:styleId="Normal2">
    <w:name w:val="Normal2"/>
    <w:rsid w:val="00A622C3"/>
  </w:style>
  <w:style w:type="paragraph" w:customStyle="1" w:styleId="Normal3">
    <w:name w:val="Normal3"/>
    <w:rsid w:val="00A622C3"/>
  </w:style>
  <w:style w:type="table" w:customStyle="1" w:styleId="TableNormal1">
    <w:name w:val="Table Normal"/>
    <w:rsid w:val="00A622C3"/>
    <w:tblPr>
      <w:tblCellMar>
        <w:top w:w="0" w:type="dxa"/>
        <w:left w:w="0" w:type="dxa"/>
        <w:bottom w:w="0" w:type="dxa"/>
        <w:right w:w="0" w:type="dxa"/>
      </w:tblCellMar>
    </w:tblPr>
  </w:style>
  <w:style w:type="paragraph" w:customStyle="1" w:styleId="Normal4">
    <w:name w:val="Normal4"/>
    <w:rsid w:val="00A622C3"/>
  </w:style>
  <w:style w:type="table" w:customStyle="1" w:styleId="TableNormal2">
    <w:name w:val="Table Normal"/>
    <w:rsid w:val="00A622C3"/>
    <w:tblPr>
      <w:tblCellMar>
        <w:top w:w="0" w:type="dxa"/>
        <w:left w:w="0" w:type="dxa"/>
        <w:bottom w:w="0" w:type="dxa"/>
        <w:right w:w="0" w:type="dxa"/>
      </w:tblCellMar>
    </w:tblPr>
  </w:style>
  <w:style w:type="character" w:customStyle="1" w:styleId="Ttulo1Char">
    <w:name w:val="Título 1 Char"/>
    <w:basedOn w:val="Fontepargpadro"/>
    <w:link w:val="Ttulo1"/>
    <w:uiPriority w:val="99"/>
    <w:locked/>
    <w:rsid w:val="00253151"/>
    <w:rPr>
      <w:rFonts w:ascii="Cambria" w:hAnsi="Cambria" w:cs="Cambria"/>
      <w:b/>
      <w:bCs/>
      <w:kern w:val="32"/>
      <w:sz w:val="32"/>
      <w:szCs w:val="32"/>
    </w:rPr>
  </w:style>
  <w:style w:type="character" w:customStyle="1" w:styleId="Ttulo2Char">
    <w:name w:val="Título 2 Char"/>
    <w:basedOn w:val="Fontepargpadro"/>
    <w:link w:val="Ttulo2"/>
    <w:uiPriority w:val="99"/>
    <w:semiHidden/>
    <w:locked/>
    <w:rsid w:val="00253151"/>
    <w:rPr>
      <w:rFonts w:ascii="Cambria" w:hAnsi="Cambria" w:cs="Cambria"/>
      <w:b/>
      <w:bCs/>
      <w:i/>
      <w:iCs/>
      <w:sz w:val="28"/>
      <w:szCs w:val="28"/>
    </w:rPr>
  </w:style>
  <w:style w:type="character" w:customStyle="1" w:styleId="Ttulo3Char">
    <w:name w:val="Título 3 Char"/>
    <w:basedOn w:val="Fontepargpadro"/>
    <w:link w:val="Ttulo3"/>
    <w:uiPriority w:val="99"/>
    <w:semiHidden/>
    <w:locked/>
    <w:rsid w:val="00253151"/>
    <w:rPr>
      <w:rFonts w:ascii="Cambria" w:hAnsi="Cambria" w:cs="Cambria"/>
      <w:b/>
      <w:bCs/>
      <w:sz w:val="26"/>
      <w:szCs w:val="26"/>
    </w:rPr>
  </w:style>
  <w:style w:type="character" w:customStyle="1" w:styleId="Ttulo4Char">
    <w:name w:val="Título 4 Char"/>
    <w:basedOn w:val="Fontepargpadro"/>
    <w:link w:val="Ttulo4"/>
    <w:uiPriority w:val="99"/>
    <w:semiHidden/>
    <w:locked/>
    <w:rsid w:val="00253151"/>
    <w:rPr>
      <w:rFonts w:ascii="Calibri" w:hAnsi="Calibri" w:cs="Calibri"/>
      <w:b/>
      <w:bCs/>
      <w:sz w:val="28"/>
      <w:szCs w:val="28"/>
    </w:rPr>
  </w:style>
  <w:style w:type="character" w:customStyle="1" w:styleId="Ttulo5Char">
    <w:name w:val="Título 5 Char"/>
    <w:basedOn w:val="Fontepargpadro"/>
    <w:link w:val="Ttulo5"/>
    <w:uiPriority w:val="99"/>
    <w:semiHidden/>
    <w:locked/>
    <w:rsid w:val="00253151"/>
    <w:rPr>
      <w:rFonts w:ascii="Calibri" w:hAnsi="Calibri" w:cs="Calibri"/>
      <w:b/>
      <w:bCs/>
      <w:i/>
      <w:iCs/>
      <w:sz w:val="26"/>
      <w:szCs w:val="26"/>
    </w:rPr>
  </w:style>
  <w:style w:type="character" w:customStyle="1" w:styleId="Ttulo6Char">
    <w:name w:val="Título 6 Char"/>
    <w:basedOn w:val="Fontepargpadro"/>
    <w:link w:val="Ttulo6"/>
    <w:uiPriority w:val="99"/>
    <w:semiHidden/>
    <w:locked/>
    <w:rsid w:val="00253151"/>
    <w:rPr>
      <w:rFonts w:ascii="Calibri" w:hAnsi="Calibri" w:cs="Calibri"/>
      <w:b/>
      <w:bCs/>
    </w:rPr>
  </w:style>
  <w:style w:type="paragraph" w:customStyle="1" w:styleId="Normal5">
    <w:name w:val="Normal5"/>
    <w:rsid w:val="00CC0D66"/>
  </w:style>
  <w:style w:type="character" w:customStyle="1" w:styleId="TtuloChar">
    <w:name w:val="Título Char"/>
    <w:basedOn w:val="Fontepargpadro"/>
    <w:link w:val="Ttulo"/>
    <w:uiPriority w:val="99"/>
    <w:locked/>
    <w:rsid w:val="00253151"/>
    <w:rPr>
      <w:rFonts w:ascii="Cambria" w:hAnsi="Cambria" w:cs="Cambria"/>
      <w:b/>
      <w:bCs/>
      <w:kern w:val="28"/>
      <w:sz w:val="32"/>
      <w:szCs w:val="32"/>
    </w:rPr>
  </w:style>
  <w:style w:type="table" w:customStyle="1" w:styleId="TableNormal10">
    <w:name w:val="Table Normal1"/>
    <w:uiPriority w:val="99"/>
    <w:rsid w:val="00CC0D66"/>
    <w:tblPr>
      <w:tblCellMar>
        <w:top w:w="0" w:type="dxa"/>
        <w:left w:w="0" w:type="dxa"/>
        <w:bottom w:w="0" w:type="dxa"/>
        <w:right w:w="0" w:type="dxa"/>
      </w:tblCellMar>
    </w:tblPr>
  </w:style>
  <w:style w:type="paragraph" w:customStyle="1" w:styleId="Normal10">
    <w:name w:val="Normal1"/>
    <w:uiPriority w:val="99"/>
    <w:rsid w:val="00253151"/>
  </w:style>
  <w:style w:type="character" w:customStyle="1" w:styleId="SubttuloChar">
    <w:name w:val="Subtítulo Char"/>
    <w:basedOn w:val="Fontepargpadro"/>
    <w:link w:val="Subttulo"/>
    <w:uiPriority w:val="99"/>
    <w:locked/>
    <w:rsid w:val="00253151"/>
    <w:rPr>
      <w:rFonts w:ascii="Cambria" w:hAnsi="Cambria" w:cs="Cambria"/>
      <w:sz w:val="24"/>
      <w:szCs w:val="24"/>
    </w:rPr>
  </w:style>
  <w:style w:type="table" w:customStyle="1" w:styleId="Estilo">
    <w:name w:val="Estilo"/>
    <w:uiPriority w:val="99"/>
    <w:rsid w:val="00253151"/>
    <w:rPr>
      <w:sz w:val="20"/>
      <w:szCs w:val="20"/>
    </w:rPr>
    <w:tblPr>
      <w:tblStyleRowBandSize w:val="1"/>
      <w:tblStyleColBandSize w:val="1"/>
      <w:tblCellMar>
        <w:top w:w="55" w:type="dxa"/>
        <w:left w:w="44" w:type="dxa"/>
        <w:bottom w:w="55" w:type="dxa"/>
        <w:right w:w="55" w:type="dxa"/>
      </w:tblCellMar>
    </w:tblPr>
  </w:style>
  <w:style w:type="table" w:customStyle="1" w:styleId="Estilo2">
    <w:name w:val="Estilo2"/>
    <w:uiPriority w:val="99"/>
    <w:rsid w:val="00253151"/>
    <w:rPr>
      <w:sz w:val="20"/>
      <w:szCs w:val="20"/>
    </w:rPr>
    <w:tblPr>
      <w:tblStyleRowBandSize w:val="1"/>
      <w:tblStyleColBandSize w:val="1"/>
      <w:tblCellMar>
        <w:top w:w="55" w:type="dxa"/>
        <w:left w:w="44" w:type="dxa"/>
        <w:bottom w:w="55" w:type="dxa"/>
        <w:right w:w="55" w:type="dxa"/>
      </w:tblCellMar>
    </w:tblPr>
  </w:style>
  <w:style w:type="table" w:customStyle="1" w:styleId="Estilo1">
    <w:name w:val="Estilo1"/>
    <w:uiPriority w:val="99"/>
    <w:rsid w:val="00253151"/>
    <w:rPr>
      <w:sz w:val="20"/>
      <w:szCs w:val="20"/>
    </w:rPr>
    <w:tblPr>
      <w:tblStyleRowBandSize w:val="1"/>
      <w:tblStyleColBandSize w:val="1"/>
      <w:tblCellMar>
        <w:top w:w="28" w:type="dxa"/>
        <w:left w:w="18" w:type="dxa"/>
        <w:bottom w:w="28" w:type="dxa"/>
        <w:right w:w="28" w:type="dxa"/>
      </w:tblCellMar>
    </w:tblPr>
  </w:style>
  <w:style w:type="paragraph" w:styleId="Textodebalo">
    <w:name w:val="Balloon Text"/>
    <w:basedOn w:val="Normal4"/>
    <w:link w:val="TextodebaloChar"/>
    <w:uiPriority w:val="99"/>
    <w:semiHidden/>
    <w:rsid w:val="00253151"/>
    <w:rPr>
      <w:rFonts w:ascii="Tahoma" w:hAnsi="Tahoma" w:cs="Tahoma"/>
      <w:sz w:val="16"/>
      <w:szCs w:val="16"/>
    </w:rPr>
  </w:style>
  <w:style w:type="character" w:customStyle="1" w:styleId="TextodebaloChar">
    <w:name w:val="Texto de balão Char"/>
    <w:basedOn w:val="Fontepargpadro"/>
    <w:link w:val="Textodebalo"/>
    <w:uiPriority w:val="99"/>
    <w:semiHidden/>
    <w:locked/>
    <w:rsid w:val="00CC0D66"/>
    <w:rPr>
      <w:sz w:val="2"/>
      <w:szCs w:val="2"/>
    </w:rPr>
  </w:style>
  <w:style w:type="character" w:styleId="Refdecomentrio">
    <w:name w:val="annotation reference"/>
    <w:basedOn w:val="Fontepargpadro"/>
    <w:uiPriority w:val="99"/>
    <w:semiHidden/>
    <w:rsid w:val="00253151"/>
    <w:rPr>
      <w:sz w:val="16"/>
      <w:szCs w:val="16"/>
    </w:rPr>
  </w:style>
  <w:style w:type="paragraph" w:styleId="Textodecomentrio">
    <w:name w:val="annotation text"/>
    <w:basedOn w:val="Normal4"/>
    <w:link w:val="TextodecomentrioChar"/>
    <w:uiPriority w:val="99"/>
    <w:semiHidden/>
    <w:rsid w:val="00253151"/>
    <w:pPr>
      <w:widowControl/>
    </w:pPr>
    <w:rPr>
      <w:rFonts w:ascii="Ecofont_Spranq_eco_Sans" w:eastAsia="MS Mincho" w:hAnsi="Ecofont_Spranq_eco_Sans" w:cs="Ecofont_Spranq_eco_Sans"/>
      <w:sz w:val="20"/>
      <w:szCs w:val="20"/>
    </w:rPr>
  </w:style>
  <w:style w:type="character" w:customStyle="1" w:styleId="TextodecomentrioChar">
    <w:name w:val="Texto de comentário Char"/>
    <w:basedOn w:val="Fontepargpadro"/>
    <w:link w:val="Textodecomentrio"/>
    <w:uiPriority w:val="99"/>
    <w:locked/>
    <w:rsid w:val="00253151"/>
    <w:rPr>
      <w:rFonts w:ascii="Ecofont_Spranq_eco_Sans" w:eastAsia="MS Mincho" w:hAnsi="Ecofont_Spranq_eco_Sans" w:cs="Ecofont_Spranq_eco_Sans"/>
      <w:lang w:val="pt-BR" w:eastAsia="pt-BR"/>
    </w:rPr>
  </w:style>
  <w:style w:type="paragraph" w:customStyle="1" w:styleId="Nivel2">
    <w:name w:val="Nivel 2"/>
    <w:basedOn w:val="Normal4"/>
    <w:link w:val="Nivel2Char"/>
    <w:uiPriority w:val="99"/>
    <w:rsid w:val="00253151"/>
    <w:pPr>
      <w:widowControl/>
      <w:numPr>
        <w:ilvl w:val="1"/>
        <w:numId w:val="2"/>
      </w:numPr>
      <w:spacing w:before="120" w:after="120" w:line="276" w:lineRule="auto"/>
      <w:jc w:val="both"/>
    </w:pPr>
    <w:rPr>
      <w:rFonts w:ascii="Arial" w:eastAsia="MS Mincho" w:hAnsi="Arial" w:cs="Arial"/>
      <w:color w:val="000000"/>
      <w:sz w:val="20"/>
      <w:szCs w:val="20"/>
    </w:rPr>
  </w:style>
  <w:style w:type="character" w:customStyle="1" w:styleId="Nivel2Char">
    <w:name w:val="Nivel 2 Char"/>
    <w:basedOn w:val="Fontepargpadro"/>
    <w:link w:val="Nivel2"/>
    <w:uiPriority w:val="99"/>
    <w:locked/>
    <w:rsid w:val="00253151"/>
    <w:rPr>
      <w:rFonts w:ascii="Arial" w:eastAsia="MS Mincho" w:hAnsi="Arial" w:cs="Arial"/>
      <w:color w:val="000000"/>
      <w:lang w:val="pt-BR" w:eastAsia="pt-BR"/>
    </w:rPr>
  </w:style>
  <w:style w:type="paragraph" w:customStyle="1" w:styleId="Nivel3">
    <w:name w:val="Nivel 3"/>
    <w:basedOn w:val="Normal4"/>
    <w:link w:val="Nivel3Char"/>
    <w:uiPriority w:val="99"/>
    <w:rsid w:val="00253151"/>
    <w:pPr>
      <w:widowControl/>
      <w:numPr>
        <w:ilvl w:val="2"/>
        <w:numId w:val="2"/>
      </w:numPr>
      <w:spacing w:before="120" w:after="120" w:line="276" w:lineRule="auto"/>
      <w:ind w:left="425"/>
      <w:jc w:val="both"/>
    </w:pPr>
    <w:rPr>
      <w:rFonts w:ascii="Arial" w:eastAsia="MS Mincho" w:hAnsi="Arial" w:cs="Arial"/>
      <w:color w:val="000000"/>
      <w:sz w:val="20"/>
      <w:szCs w:val="20"/>
    </w:rPr>
  </w:style>
  <w:style w:type="character" w:customStyle="1" w:styleId="Nivel3Char">
    <w:name w:val="Nivel 3 Char"/>
    <w:basedOn w:val="Fontepargpadro"/>
    <w:link w:val="Nivel3"/>
    <w:uiPriority w:val="99"/>
    <w:locked/>
    <w:rsid w:val="00253151"/>
    <w:rPr>
      <w:rFonts w:ascii="Arial" w:eastAsia="MS Mincho" w:hAnsi="Arial" w:cs="Arial"/>
      <w:color w:val="000000"/>
      <w:lang w:val="pt-BR" w:eastAsia="pt-BR"/>
    </w:rPr>
  </w:style>
  <w:style w:type="paragraph" w:customStyle="1" w:styleId="Nvel3-R">
    <w:name w:val="Nível 3-R"/>
    <w:basedOn w:val="Nivel3"/>
    <w:link w:val="Nvel3-RChar"/>
    <w:uiPriority w:val="99"/>
    <w:rsid w:val="00253151"/>
    <w:rPr>
      <w:i/>
      <w:iCs/>
      <w:color w:val="FF0000"/>
    </w:rPr>
  </w:style>
  <w:style w:type="character" w:customStyle="1" w:styleId="Nvel3-RChar">
    <w:name w:val="Nível 3-R Char"/>
    <w:basedOn w:val="Nivel3Char"/>
    <w:link w:val="Nvel3-R"/>
    <w:uiPriority w:val="99"/>
    <w:locked/>
    <w:rsid w:val="00253151"/>
    <w:rPr>
      <w:rFonts w:ascii="Arial" w:eastAsia="MS Mincho" w:hAnsi="Arial" w:cs="Arial"/>
      <w:i/>
      <w:iCs/>
      <w:color w:val="FF0000"/>
      <w:lang w:val="pt-BR" w:eastAsia="pt-BR"/>
    </w:rPr>
  </w:style>
  <w:style w:type="table" w:styleId="Tabelacomgrade">
    <w:name w:val="Table Grid"/>
    <w:basedOn w:val="Tabelanormal"/>
    <w:uiPriority w:val="99"/>
    <w:locked/>
    <w:rsid w:val="0025315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uiPriority w:val="99"/>
    <w:rsid w:val="00253151"/>
    <w:rPr>
      <w:rFonts w:ascii="Arial" w:hAnsi="Arial" w:cs="Arial"/>
      <w:sz w:val="24"/>
      <w:szCs w:val="24"/>
      <w:u w:val="none"/>
      <w:effect w:val="none"/>
    </w:rPr>
  </w:style>
  <w:style w:type="character" w:styleId="Hyperlink">
    <w:name w:val="Hyperlink"/>
    <w:basedOn w:val="Fontepargpadro"/>
    <w:uiPriority w:val="99"/>
    <w:rsid w:val="00253151"/>
    <w:rPr>
      <w:color w:val="000080"/>
      <w:u w:val="single"/>
    </w:rPr>
  </w:style>
  <w:style w:type="paragraph" w:customStyle="1" w:styleId="ou">
    <w:name w:val="ou"/>
    <w:basedOn w:val="Normal4"/>
    <w:link w:val="ouChar"/>
    <w:uiPriority w:val="99"/>
    <w:rsid w:val="00253151"/>
    <w:pPr>
      <w:widowControl/>
      <w:spacing w:before="60" w:after="60" w:line="259" w:lineRule="auto"/>
      <w:jc w:val="center"/>
    </w:pPr>
    <w:rPr>
      <w:rFonts w:ascii="Arial" w:hAnsi="Arial" w:cs="Arial"/>
      <w:b/>
      <w:bCs/>
      <w:i/>
      <w:iCs/>
      <w:color w:val="FF0000"/>
      <w:u w:val="single"/>
    </w:rPr>
  </w:style>
  <w:style w:type="character" w:customStyle="1" w:styleId="ouChar">
    <w:name w:val="ou Char"/>
    <w:basedOn w:val="Fontepargpadro"/>
    <w:link w:val="ou"/>
    <w:uiPriority w:val="99"/>
    <w:locked/>
    <w:rsid w:val="00253151"/>
    <w:rPr>
      <w:rFonts w:ascii="Arial" w:hAnsi="Arial" w:cs="Arial"/>
      <w:b/>
      <w:bCs/>
      <w:i/>
      <w:iCs/>
      <w:color w:val="FF0000"/>
      <w:sz w:val="24"/>
      <w:szCs w:val="24"/>
      <w:u w:val="single"/>
      <w:lang w:val="pt-BR" w:eastAsia="pt-BR"/>
    </w:rPr>
  </w:style>
  <w:style w:type="paragraph" w:customStyle="1" w:styleId="Nvel2-Red">
    <w:name w:val="Nível 2 -Red"/>
    <w:basedOn w:val="Nivel2"/>
    <w:link w:val="Nvel2-RedChar"/>
    <w:uiPriority w:val="99"/>
    <w:rsid w:val="00253151"/>
    <w:rPr>
      <w:i/>
      <w:iCs/>
      <w:color w:val="FF0000"/>
    </w:rPr>
  </w:style>
  <w:style w:type="character" w:customStyle="1" w:styleId="Nvel2-RedChar">
    <w:name w:val="Nível 2 -Red Char"/>
    <w:basedOn w:val="Nivel2Char"/>
    <w:link w:val="Nvel2-Red"/>
    <w:uiPriority w:val="99"/>
    <w:locked/>
    <w:rsid w:val="00253151"/>
    <w:rPr>
      <w:rFonts w:ascii="Arial" w:eastAsia="MS Mincho" w:hAnsi="Arial" w:cs="Arial"/>
      <w:i/>
      <w:iCs/>
      <w:color w:val="FF0000"/>
      <w:lang w:val="pt-BR" w:eastAsia="pt-BR"/>
    </w:rPr>
  </w:style>
  <w:style w:type="paragraph" w:customStyle="1" w:styleId="Nvel1-SemNum">
    <w:name w:val="Nível 1-Sem Num"/>
    <w:basedOn w:val="Normal4"/>
    <w:link w:val="Nvel1-SemNumChar"/>
    <w:uiPriority w:val="99"/>
    <w:rsid w:val="00253151"/>
    <w:pPr>
      <w:keepNext/>
      <w:keepLines/>
      <w:widowControl/>
      <w:tabs>
        <w:tab w:val="left" w:pos="567"/>
      </w:tabs>
      <w:spacing w:before="240"/>
      <w:ind w:left="357"/>
      <w:jc w:val="both"/>
      <w:outlineLvl w:val="1"/>
    </w:pPr>
    <w:rPr>
      <w:rFonts w:ascii="Arial" w:eastAsia="MS Gothic" w:hAnsi="Arial" w:cs="Arial"/>
      <w:b/>
      <w:bCs/>
      <w:color w:val="FF0000"/>
      <w:sz w:val="20"/>
      <w:szCs w:val="20"/>
    </w:rPr>
  </w:style>
  <w:style w:type="character" w:customStyle="1" w:styleId="Nvel1-SemNumChar">
    <w:name w:val="Nível 1-Sem Num Char"/>
    <w:basedOn w:val="Fontepargpadro"/>
    <w:link w:val="Nvel1-SemNum"/>
    <w:uiPriority w:val="99"/>
    <w:locked/>
    <w:rsid w:val="00253151"/>
    <w:rPr>
      <w:rFonts w:ascii="Arial" w:eastAsia="MS Gothic" w:hAnsi="Arial" w:cs="Arial"/>
      <w:b/>
      <w:bCs/>
      <w:color w:val="FF0000"/>
      <w:lang w:val="pt-BR" w:eastAsia="pt-BR"/>
    </w:rPr>
  </w:style>
  <w:style w:type="paragraph" w:customStyle="1" w:styleId="Nivel4">
    <w:name w:val="Nivel 4"/>
    <w:basedOn w:val="Nivel3"/>
    <w:link w:val="Nivel4Char"/>
    <w:uiPriority w:val="99"/>
    <w:rsid w:val="00253151"/>
    <w:pPr>
      <w:numPr>
        <w:ilvl w:val="3"/>
      </w:numPr>
      <w:ind w:left="851" w:firstLine="0"/>
    </w:pPr>
    <w:rPr>
      <w:color w:val="auto"/>
    </w:rPr>
  </w:style>
  <w:style w:type="character" w:customStyle="1" w:styleId="Nivel4Char">
    <w:name w:val="Nivel 4 Char"/>
    <w:basedOn w:val="Fontepargpadro"/>
    <w:link w:val="Nivel4"/>
    <w:uiPriority w:val="99"/>
    <w:locked/>
    <w:rsid w:val="00253151"/>
    <w:rPr>
      <w:rFonts w:ascii="Arial" w:eastAsia="MS Mincho" w:hAnsi="Arial" w:cs="Arial"/>
      <w:lang w:val="pt-BR" w:eastAsia="pt-BR"/>
    </w:rPr>
  </w:style>
  <w:style w:type="table" w:customStyle="1" w:styleId="Estilo43">
    <w:name w:val="Estilo43"/>
    <w:uiPriority w:val="99"/>
    <w:rsid w:val="00CC0D66"/>
    <w:rPr>
      <w:sz w:val="20"/>
      <w:szCs w:val="20"/>
    </w:rPr>
    <w:tblPr>
      <w:tblStyleRowBandSize w:val="1"/>
      <w:tblStyleColBandSize w:val="1"/>
      <w:tblCellMar>
        <w:top w:w="55" w:type="dxa"/>
        <w:left w:w="44" w:type="dxa"/>
        <w:bottom w:w="55" w:type="dxa"/>
        <w:right w:w="55" w:type="dxa"/>
      </w:tblCellMar>
    </w:tblPr>
  </w:style>
  <w:style w:type="table" w:customStyle="1" w:styleId="Estilo42">
    <w:name w:val="Estilo42"/>
    <w:uiPriority w:val="99"/>
    <w:rsid w:val="00CC0D66"/>
    <w:rPr>
      <w:sz w:val="20"/>
      <w:szCs w:val="20"/>
    </w:rPr>
    <w:tblPr>
      <w:tblStyleRowBandSize w:val="1"/>
      <w:tblStyleColBandSize w:val="1"/>
      <w:tblCellMar>
        <w:top w:w="55" w:type="dxa"/>
        <w:left w:w="44" w:type="dxa"/>
        <w:bottom w:w="55" w:type="dxa"/>
        <w:right w:w="55" w:type="dxa"/>
      </w:tblCellMar>
    </w:tblPr>
  </w:style>
  <w:style w:type="table" w:customStyle="1" w:styleId="Estilo41">
    <w:name w:val="Estilo41"/>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40">
    <w:name w:val="Estilo40"/>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9">
    <w:name w:val="Estilo39"/>
    <w:uiPriority w:val="99"/>
    <w:rsid w:val="00CC0D66"/>
    <w:rPr>
      <w:sz w:val="20"/>
      <w:szCs w:val="20"/>
    </w:rPr>
    <w:tblPr>
      <w:tblStyleRowBandSize w:val="1"/>
      <w:tblStyleColBandSize w:val="1"/>
      <w:tblCellMar>
        <w:top w:w="28" w:type="dxa"/>
        <w:left w:w="18" w:type="dxa"/>
        <w:bottom w:w="28" w:type="dxa"/>
        <w:right w:w="28" w:type="dxa"/>
      </w:tblCellMar>
    </w:tblPr>
  </w:style>
  <w:style w:type="table" w:customStyle="1" w:styleId="Estilo38">
    <w:name w:val="Estilo38"/>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7">
    <w:name w:val="Estilo37"/>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6">
    <w:name w:val="Estilo36"/>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5">
    <w:name w:val="Estilo35"/>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4">
    <w:name w:val="Estilo34"/>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3">
    <w:name w:val="Estilo33"/>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2">
    <w:name w:val="Estilo32"/>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1">
    <w:name w:val="Estilo31"/>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30">
    <w:name w:val="Estilo30"/>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29">
    <w:name w:val="Estilo29"/>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8">
    <w:name w:val="Estilo28"/>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7">
    <w:name w:val="Estilo27"/>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26">
    <w:name w:val="Estilo26"/>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5">
    <w:name w:val="Estilo25"/>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4">
    <w:name w:val="Estilo24"/>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3">
    <w:name w:val="Estilo23"/>
    <w:uiPriority w:val="99"/>
    <w:rsid w:val="00CC0D66"/>
    <w:rPr>
      <w:sz w:val="20"/>
      <w:szCs w:val="20"/>
    </w:rPr>
    <w:tblPr>
      <w:tblStyleRowBandSize w:val="1"/>
      <w:tblStyleColBandSize w:val="1"/>
      <w:tblCellMar>
        <w:top w:w="0" w:type="dxa"/>
        <w:left w:w="115" w:type="dxa"/>
        <w:bottom w:w="0" w:type="dxa"/>
        <w:right w:w="115" w:type="dxa"/>
      </w:tblCellMar>
    </w:tblPr>
  </w:style>
  <w:style w:type="table" w:customStyle="1" w:styleId="Estilo22">
    <w:name w:val="Estilo22"/>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1">
    <w:name w:val="Estilo21"/>
    <w:uiPriority w:val="99"/>
    <w:rsid w:val="00CC0D66"/>
    <w:rPr>
      <w:sz w:val="20"/>
      <w:szCs w:val="20"/>
    </w:rPr>
    <w:tblPr>
      <w:tblStyleRowBandSize w:val="1"/>
      <w:tblStyleColBandSize w:val="1"/>
      <w:tblCellMar>
        <w:top w:w="0" w:type="dxa"/>
        <w:left w:w="108" w:type="dxa"/>
        <w:bottom w:w="0" w:type="dxa"/>
        <w:right w:w="108" w:type="dxa"/>
      </w:tblCellMar>
    </w:tblPr>
  </w:style>
  <w:style w:type="table" w:customStyle="1" w:styleId="Estilo20">
    <w:name w:val="Estilo20"/>
    <w:uiPriority w:val="99"/>
    <w:rsid w:val="00CC0D66"/>
    <w:rPr>
      <w:sz w:val="20"/>
      <w:szCs w:val="20"/>
    </w:rPr>
    <w:tblPr>
      <w:tblStyleRowBandSize w:val="1"/>
      <w:tblStyleColBandSize w:val="1"/>
      <w:tblCellMar>
        <w:top w:w="0" w:type="dxa"/>
        <w:left w:w="108" w:type="dxa"/>
        <w:bottom w:w="0" w:type="dxa"/>
        <w:right w:w="108" w:type="dxa"/>
      </w:tblCellMar>
    </w:tblPr>
  </w:style>
  <w:style w:type="paragraph" w:customStyle="1" w:styleId="Nivel01">
    <w:name w:val="Nivel 01"/>
    <w:basedOn w:val="Ttulo1"/>
    <w:next w:val="Normal4"/>
    <w:link w:val="Nivel01Char"/>
    <w:uiPriority w:val="99"/>
    <w:rsid w:val="00253151"/>
    <w:pPr>
      <w:keepLines/>
      <w:tabs>
        <w:tab w:val="clear" w:pos="-432"/>
        <w:tab w:val="clear" w:pos="10728"/>
        <w:tab w:val="num" w:pos="360"/>
        <w:tab w:val="left" w:pos="567"/>
      </w:tabs>
      <w:spacing w:before="240"/>
      <w:ind w:right="0" w:firstLine="0"/>
    </w:pPr>
    <w:rPr>
      <w:rFonts w:ascii="Arial" w:hAnsi="Arial" w:cs="Arial"/>
      <w:color w:val="auto"/>
      <w:sz w:val="20"/>
      <w:szCs w:val="20"/>
    </w:rPr>
  </w:style>
  <w:style w:type="paragraph" w:customStyle="1" w:styleId="Nivel5">
    <w:name w:val="Nivel 5"/>
    <w:basedOn w:val="Nivel4"/>
    <w:uiPriority w:val="99"/>
    <w:rsid w:val="00253151"/>
    <w:pPr>
      <w:numPr>
        <w:ilvl w:val="0"/>
        <w:numId w:val="0"/>
      </w:numPr>
      <w:ind w:left="1276"/>
    </w:pPr>
    <w:rPr>
      <w:rFonts w:eastAsia="Times New Roman"/>
    </w:rPr>
  </w:style>
  <w:style w:type="paragraph" w:styleId="PargrafodaLista">
    <w:name w:val="List Paragraph"/>
    <w:basedOn w:val="Normal4"/>
    <w:link w:val="PargrafodaListaChar"/>
    <w:uiPriority w:val="99"/>
    <w:qFormat/>
    <w:rsid w:val="00253151"/>
    <w:pPr>
      <w:ind w:left="720"/>
    </w:pPr>
  </w:style>
  <w:style w:type="paragraph" w:styleId="NormalWeb">
    <w:name w:val="Normal (Web)"/>
    <w:basedOn w:val="Normal4"/>
    <w:uiPriority w:val="99"/>
    <w:rsid w:val="00253151"/>
    <w:pPr>
      <w:widowControl/>
      <w:spacing w:before="100" w:beforeAutospacing="1" w:after="100" w:afterAutospacing="1"/>
    </w:pPr>
  </w:style>
  <w:style w:type="table" w:customStyle="1" w:styleId="Estilo19">
    <w:name w:val="Estilo19"/>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8">
    <w:name w:val="Estilo18"/>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7">
    <w:name w:val="Estilo17"/>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6">
    <w:name w:val="Estilo16"/>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5">
    <w:name w:val="Estilo15"/>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4">
    <w:name w:val="Estilo14"/>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3">
    <w:name w:val="Estilo13"/>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2">
    <w:name w:val="Estilo12"/>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1">
    <w:name w:val="Estilo11"/>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10">
    <w:name w:val="Estilo10"/>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9">
    <w:name w:val="Estilo9"/>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8">
    <w:name w:val="Estilo8"/>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7">
    <w:name w:val="Estilo7"/>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6">
    <w:name w:val="Estilo6"/>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5">
    <w:name w:val="Estilo5"/>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4">
    <w:name w:val="Estilo4"/>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table" w:customStyle="1" w:styleId="Estilo3">
    <w:name w:val="Estilo3"/>
    <w:basedOn w:val="TableNormal10"/>
    <w:uiPriority w:val="99"/>
    <w:rsid w:val="00CC0D66"/>
    <w:rPr>
      <w:sz w:val="20"/>
      <w:szCs w:val="20"/>
    </w:rPr>
    <w:tblPr>
      <w:tblStyleRowBandSize w:val="1"/>
      <w:tblStyleColBandSize w:val="1"/>
      <w:tblCellMar>
        <w:top w:w="28" w:type="dxa"/>
        <w:left w:w="115" w:type="dxa"/>
        <w:bottom w:w="28" w:type="dxa"/>
        <w:right w:w="115" w:type="dxa"/>
      </w:tblCellMar>
    </w:tblPr>
  </w:style>
  <w:style w:type="paragraph" w:styleId="Assuntodocomentrio">
    <w:name w:val="annotation subject"/>
    <w:basedOn w:val="Textodecomentrio"/>
    <w:next w:val="Textodecomentrio"/>
    <w:link w:val="AssuntodocomentrioChar"/>
    <w:uiPriority w:val="99"/>
    <w:semiHidden/>
    <w:rsid w:val="00E05E01"/>
    <w:rPr>
      <w:b/>
      <w:bCs/>
    </w:rPr>
  </w:style>
  <w:style w:type="character" w:customStyle="1" w:styleId="AssuntodocomentrioChar">
    <w:name w:val="Assunto do comentário Char"/>
    <w:basedOn w:val="TextodecomentrioChar"/>
    <w:link w:val="Assuntodocomentrio"/>
    <w:uiPriority w:val="99"/>
    <w:semiHidden/>
    <w:locked/>
    <w:rsid w:val="00E05E01"/>
    <w:rPr>
      <w:rFonts w:ascii="Ecofont_Spranq_eco_Sans" w:eastAsia="MS Mincho" w:hAnsi="Ecofont_Spranq_eco_Sans" w:cs="Ecofont_Spranq_eco_Sans"/>
      <w:b/>
      <w:bCs/>
      <w:lang w:val="pt-BR" w:eastAsia="pt-BR"/>
    </w:rPr>
  </w:style>
  <w:style w:type="character" w:customStyle="1" w:styleId="Nivel01Char">
    <w:name w:val="Nivel 01 Char"/>
    <w:basedOn w:val="TtuloChar"/>
    <w:link w:val="Nivel01"/>
    <w:uiPriority w:val="99"/>
    <w:locked/>
    <w:rsid w:val="001313B5"/>
    <w:rPr>
      <w:rFonts w:ascii="Arial" w:hAnsi="Arial" w:cs="Arial"/>
      <w:b/>
      <w:bCs/>
      <w:kern w:val="28"/>
      <w:sz w:val="32"/>
      <w:szCs w:val="32"/>
      <w:lang w:val="pt-BR" w:eastAsia="pt-BR"/>
    </w:rPr>
  </w:style>
  <w:style w:type="paragraph" w:customStyle="1" w:styleId="western">
    <w:name w:val="western"/>
    <w:basedOn w:val="Normal4"/>
    <w:uiPriority w:val="99"/>
    <w:rsid w:val="00D75D6C"/>
    <w:pPr>
      <w:widowControl/>
      <w:spacing w:before="100" w:beforeAutospacing="1" w:after="119"/>
    </w:pPr>
  </w:style>
  <w:style w:type="character" w:customStyle="1" w:styleId="PargrafodaListaChar">
    <w:name w:val="Parágrafo da Lista Char"/>
    <w:basedOn w:val="Fontepargpadro"/>
    <w:link w:val="PargrafodaLista"/>
    <w:uiPriority w:val="99"/>
    <w:locked/>
    <w:rsid w:val="00997BA4"/>
    <w:rPr>
      <w:sz w:val="24"/>
      <w:szCs w:val="24"/>
      <w:lang w:val="pt-BR" w:eastAsia="pt-BR"/>
    </w:rPr>
  </w:style>
  <w:style w:type="table" w:customStyle="1" w:styleId="a">
    <w:basedOn w:val="Tabelanormal"/>
    <w:rsid w:val="00A622C3"/>
    <w:tblPr>
      <w:tblStyleRowBandSize w:val="1"/>
      <w:tblStyleColBandSize w:val="1"/>
      <w:tblCellMar>
        <w:top w:w="28" w:type="dxa"/>
        <w:left w:w="115" w:type="dxa"/>
        <w:bottom w:w="28" w:type="dxa"/>
        <w:right w:w="115" w:type="dxa"/>
      </w:tblCellMar>
    </w:tblPr>
  </w:style>
  <w:style w:type="table" w:customStyle="1" w:styleId="a0">
    <w:basedOn w:val="Tabelanormal"/>
    <w:rsid w:val="00A622C3"/>
    <w:tblPr>
      <w:tblStyleRowBandSize w:val="1"/>
      <w:tblStyleColBandSize w:val="1"/>
      <w:tblCellMar>
        <w:left w:w="115" w:type="dxa"/>
        <w:right w:w="115" w:type="dxa"/>
      </w:tblCellMar>
    </w:tblPr>
  </w:style>
  <w:style w:type="table" w:customStyle="1" w:styleId="a1">
    <w:basedOn w:val="Tabelanormal"/>
    <w:rsid w:val="00A622C3"/>
    <w:tblPr>
      <w:tblStyleRowBandSize w:val="1"/>
      <w:tblStyleColBandSize w:val="1"/>
      <w:tblCellMar>
        <w:top w:w="28" w:type="dxa"/>
        <w:left w:w="115" w:type="dxa"/>
        <w:bottom w:w="28" w:type="dxa"/>
        <w:right w:w="115" w:type="dxa"/>
      </w:tblCellMar>
    </w:tblPr>
  </w:style>
  <w:style w:type="table" w:customStyle="1" w:styleId="a2">
    <w:basedOn w:val="Tabelanormal"/>
    <w:rsid w:val="00A622C3"/>
    <w:tblPr>
      <w:tblStyleRowBandSize w:val="1"/>
      <w:tblStyleColBandSize w:val="1"/>
      <w:tblCellMar>
        <w:top w:w="28" w:type="dxa"/>
        <w:left w:w="115" w:type="dxa"/>
        <w:bottom w:w="28" w:type="dxa"/>
        <w:right w:w="115" w:type="dxa"/>
      </w:tblCellMar>
    </w:tblPr>
  </w:style>
  <w:style w:type="table" w:customStyle="1" w:styleId="a3">
    <w:basedOn w:val="Tabelanormal"/>
    <w:rsid w:val="00A622C3"/>
    <w:tblPr>
      <w:tblStyleRowBandSize w:val="1"/>
      <w:tblStyleColBandSize w:val="1"/>
      <w:tblCellMar>
        <w:top w:w="28" w:type="dxa"/>
        <w:left w:w="115" w:type="dxa"/>
        <w:bottom w:w="28" w:type="dxa"/>
        <w:right w:w="115" w:type="dxa"/>
      </w:tblCellMar>
    </w:tblPr>
  </w:style>
  <w:style w:type="table" w:customStyle="1" w:styleId="a4">
    <w:basedOn w:val="Tabelanormal"/>
    <w:rsid w:val="00A622C3"/>
    <w:tblPr>
      <w:tblStyleRowBandSize w:val="1"/>
      <w:tblStyleColBandSize w:val="1"/>
      <w:tblCellMar>
        <w:left w:w="115" w:type="dxa"/>
        <w:right w:w="115" w:type="dxa"/>
      </w:tblCellMar>
    </w:tblPr>
  </w:style>
  <w:style w:type="table" w:customStyle="1" w:styleId="a5">
    <w:basedOn w:val="Tabelanormal"/>
    <w:rsid w:val="00A622C3"/>
    <w:tblPr>
      <w:tblStyleRowBandSize w:val="1"/>
      <w:tblStyleColBandSize w:val="1"/>
      <w:tblCellMar>
        <w:left w:w="115" w:type="dxa"/>
        <w:right w:w="115" w:type="dxa"/>
      </w:tblCellMar>
    </w:tblPr>
  </w:style>
  <w:style w:type="table" w:customStyle="1" w:styleId="a6">
    <w:basedOn w:val="Tabelanormal"/>
    <w:rsid w:val="00A622C3"/>
    <w:tblPr>
      <w:tblStyleRowBandSize w:val="1"/>
      <w:tblStyleColBandSize w:val="1"/>
      <w:tblCellMar>
        <w:left w:w="115" w:type="dxa"/>
        <w:right w:w="115" w:type="dxa"/>
      </w:tblCellMar>
    </w:tblPr>
  </w:style>
  <w:style w:type="table" w:customStyle="1" w:styleId="a7">
    <w:basedOn w:val="Tabelanormal"/>
    <w:rsid w:val="00A622C3"/>
    <w:tblPr>
      <w:tblStyleRowBandSize w:val="1"/>
      <w:tblStyleColBandSize w:val="1"/>
      <w:tblCellMar>
        <w:left w:w="115" w:type="dxa"/>
        <w:right w:w="115" w:type="dxa"/>
      </w:tblCellMar>
    </w:tblPr>
  </w:style>
  <w:style w:type="table" w:customStyle="1" w:styleId="a8">
    <w:basedOn w:val="Tabelanormal"/>
    <w:rsid w:val="00A622C3"/>
    <w:tblPr>
      <w:tblStyleRowBandSize w:val="1"/>
      <w:tblStyleColBandSize w:val="1"/>
      <w:tblCellMar>
        <w:left w:w="115" w:type="dxa"/>
        <w:right w:w="115" w:type="dxa"/>
      </w:tblCellMar>
    </w:tblPr>
  </w:style>
  <w:style w:type="table" w:customStyle="1" w:styleId="a9">
    <w:basedOn w:val="Tabelanormal"/>
    <w:rsid w:val="00A622C3"/>
    <w:tblPr>
      <w:tblStyleRowBandSize w:val="1"/>
      <w:tblStyleColBandSize w:val="1"/>
      <w:tblCellMar>
        <w:top w:w="28" w:type="dxa"/>
        <w:left w:w="115" w:type="dxa"/>
        <w:bottom w:w="28" w:type="dxa"/>
        <w:right w:w="115" w:type="dxa"/>
      </w:tblCellMar>
    </w:tblPr>
  </w:style>
  <w:style w:type="table" w:customStyle="1" w:styleId="aa">
    <w:basedOn w:val="Tabelanormal"/>
    <w:rsid w:val="00A622C3"/>
    <w:tblPr>
      <w:tblStyleRowBandSize w:val="1"/>
      <w:tblStyleColBandSize w:val="1"/>
      <w:tblCellMar>
        <w:top w:w="28" w:type="dxa"/>
        <w:left w:w="115" w:type="dxa"/>
        <w:bottom w:w="28" w:type="dxa"/>
        <w:right w:w="115" w:type="dxa"/>
      </w:tblCellMar>
    </w:tblPr>
  </w:style>
  <w:style w:type="table" w:customStyle="1" w:styleId="ab">
    <w:basedOn w:val="Tabelanormal"/>
    <w:rsid w:val="00A622C3"/>
    <w:tblPr>
      <w:tblStyleRowBandSize w:val="1"/>
      <w:tblStyleColBandSize w:val="1"/>
      <w:tblCellMar>
        <w:top w:w="28" w:type="dxa"/>
        <w:left w:w="115" w:type="dxa"/>
        <w:bottom w:w="28" w:type="dxa"/>
        <w:right w:w="115" w:type="dxa"/>
      </w:tblCellMar>
    </w:tblPr>
  </w:style>
  <w:style w:type="table" w:customStyle="1" w:styleId="ac">
    <w:basedOn w:val="Tabelanormal"/>
    <w:rsid w:val="00A622C3"/>
    <w:tblPr>
      <w:tblStyleRowBandSize w:val="1"/>
      <w:tblStyleColBandSize w:val="1"/>
      <w:tblCellMar>
        <w:top w:w="28" w:type="dxa"/>
        <w:left w:w="115" w:type="dxa"/>
        <w:bottom w:w="28" w:type="dxa"/>
        <w:right w:w="115" w:type="dxa"/>
      </w:tblCellMar>
    </w:tblPr>
  </w:style>
  <w:style w:type="table" w:customStyle="1" w:styleId="ad">
    <w:basedOn w:val="Tabelanormal"/>
    <w:rsid w:val="00A622C3"/>
    <w:tblPr>
      <w:tblStyleRowBandSize w:val="1"/>
      <w:tblStyleColBandSize w:val="1"/>
      <w:tblCellMar>
        <w:top w:w="28" w:type="dxa"/>
        <w:left w:w="115" w:type="dxa"/>
        <w:bottom w:w="28" w:type="dxa"/>
        <w:right w:w="115" w:type="dxa"/>
      </w:tblCellMar>
    </w:tblPr>
  </w:style>
  <w:style w:type="table" w:customStyle="1" w:styleId="ae">
    <w:basedOn w:val="Tabelanormal"/>
    <w:rsid w:val="00A622C3"/>
    <w:tblPr>
      <w:tblStyleRowBandSize w:val="1"/>
      <w:tblStyleColBandSize w:val="1"/>
      <w:tblCellMar>
        <w:top w:w="28" w:type="dxa"/>
        <w:left w:w="115" w:type="dxa"/>
        <w:bottom w:w="28" w:type="dxa"/>
        <w:right w:w="115" w:type="dxa"/>
      </w:tblCellMar>
    </w:tblPr>
  </w:style>
  <w:style w:type="table" w:customStyle="1" w:styleId="af">
    <w:basedOn w:val="Tabelanormal"/>
    <w:rsid w:val="00A622C3"/>
    <w:rPr>
      <w:sz w:val="20"/>
      <w:szCs w:val="20"/>
    </w:rPr>
    <w:tblPr>
      <w:tblStyleRowBandSize w:val="1"/>
      <w:tblStyleColBandSize w:val="1"/>
    </w:tblPr>
  </w:style>
  <w:style w:type="table" w:customStyle="1" w:styleId="af0">
    <w:basedOn w:val="Tabelanormal"/>
    <w:rsid w:val="00A622C3"/>
    <w:rPr>
      <w:sz w:val="20"/>
      <w:szCs w:val="20"/>
    </w:rPr>
    <w:tblPr>
      <w:tblStyleRowBandSize w:val="1"/>
      <w:tblStyleColBandSize w:val="1"/>
    </w:tblPr>
  </w:style>
  <w:style w:type="table" w:customStyle="1" w:styleId="af1">
    <w:basedOn w:val="Tabelanormal"/>
    <w:rsid w:val="00A622C3"/>
    <w:tblPr>
      <w:tblStyleRowBandSize w:val="1"/>
      <w:tblStyleColBandSize w:val="1"/>
      <w:tblCellMar>
        <w:top w:w="28" w:type="dxa"/>
        <w:left w:w="115" w:type="dxa"/>
        <w:bottom w:w="28" w:type="dxa"/>
        <w:right w:w="115" w:type="dxa"/>
      </w:tblCellMar>
    </w:tblPr>
  </w:style>
  <w:style w:type="table" w:customStyle="1" w:styleId="af2">
    <w:basedOn w:val="Tabelanormal"/>
    <w:rsid w:val="00A622C3"/>
    <w:rPr>
      <w:sz w:val="20"/>
      <w:szCs w:val="20"/>
    </w:rPr>
    <w:tblPr>
      <w:tblStyleRowBandSize w:val="1"/>
      <w:tblStyleColBandSize w:val="1"/>
    </w:tblPr>
  </w:style>
  <w:style w:type="table" w:customStyle="1" w:styleId="af3">
    <w:basedOn w:val="Tabelanormal"/>
    <w:rsid w:val="00A622C3"/>
    <w:tblPr>
      <w:tblStyleRowBandSize w:val="1"/>
      <w:tblStyleColBandSize w:val="1"/>
      <w:tblCellMar>
        <w:top w:w="28" w:type="dxa"/>
        <w:left w:w="115" w:type="dxa"/>
        <w:bottom w:w="28" w:type="dxa"/>
        <w:right w:w="115" w:type="dxa"/>
      </w:tblCellMar>
    </w:tblPr>
  </w:style>
  <w:style w:type="table" w:customStyle="1" w:styleId="af4">
    <w:basedOn w:val="Tabelanormal"/>
    <w:rsid w:val="00A622C3"/>
    <w:rPr>
      <w:sz w:val="20"/>
      <w:szCs w:val="20"/>
    </w:rPr>
    <w:tblPr>
      <w:tblStyleRowBandSize w:val="1"/>
      <w:tblStyleColBandSize w:val="1"/>
    </w:tblPr>
  </w:style>
  <w:style w:type="table" w:customStyle="1" w:styleId="af5">
    <w:basedOn w:val="Tabelanormal"/>
    <w:rsid w:val="00A622C3"/>
    <w:tblPr>
      <w:tblStyleRowBandSize w:val="1"/>
      <w:tblStyleColBandSize w:val="1"/>
      <w:tblCellMar>
        <w:left w:w="115" w:type="dxa"/>
        <w:right w:w="115" w:type="dxa"/>
      </w:tblCellMar>
    </w:tblPr>
  </w:style>
  <w:style w:type="table" w:customStyle="1" w:styleId="af6">
    <w:basedOn w:val="Tabelanormal"/>
    <w:rsid w:val="00A622C3"/>
    <w:tblPr>
      <w:tblStyleRowBandSize w:val="1"/>
      <w:tblStyleColBandSize w:val="1"/>
      <w:tblCellMar>
        <w:left w:w="115" w:type="dxa"/>
        <w:right w:w="115" w:type="dxa"/>
      </w:tblCellMar>
    </w:tblPr>
  </w:style>
  <w:style w:type="table" w:customStyle="1" w:styleId="af7">
    <w:basedOn w:val="Tabelanormal"/>
    <w:rsid w:val="00A622C3"/>
    <w:tblPr>
      <w:tblStyleRowBandSize w:val="1"/>
      <w:tblStyleColBandSize w:val="1"/>
      <w:tblCellMar>
        <w:left w:w="115" w:type="dxa"/>
        <w:right w:w="115" w:type="dxa"/>
      </w:tblCellMar>
    </w:tblPr>
  </w:style>
  <w:style w:type="table" w:customStyle="1" w:styleId="af8">
    <w:basedOn w:val="Tabelanormal"/>
    <w:rsid w:val="00A622C3"/>
    <w:tblPr>
      <w:tblStyleRowBandSize w:val="1"/>
      <w:tblStyleColBandSize w:val="1"/>
      <w:tblCellMar>
        <w:left w:w="115" w:type="dxa"/>
        <w:right w:w="115" w:type="dxa"/>
      </w:tblCellMar>
    </w:tblPr>
  </w:style>
  <w:style w:type="table" w:customStyle="1" w:styleId="af9">
    <w:basedOn w:val="Tabelanormal"/>
    <w:rsid w:val="00A622C3"/>
    <w:tblPr>
      <w:tblStyleRowBandSize w:val="1"/>
      <w:tblStyleColBandSize w:val="1"/>
      <w:tblCellMar>
        <w:left w:w="115" w:type="dxa"/>
        <w:right w:w="115" w:type="dxa"/>
      </w:tblCellMar>
    </w:tblPr>
  </w:style>
  <w:style w:type="table" w:customStyle="1" w:styleId="afa">
    <w:basedOn w:val="Tabelanormal"/>
    <w:rsid w:val="00A622C3"/>
    <w:tblPr>
      <w:tblStyleRowBandSize w:val="1"/>
      <w:tblStyleColBandSize w:val="1"/>
      <w:tblCellMar>
        <w:left w:w="115" w:type="dxa"/>
        <w:right w:w="115" w:type="dxa"/>
      </w:tblCellMar>
    </w:tblPr>
  </w:style>
  <w:style w:type="table" w:customStyle="1" w:styleId="afb">
    <w:basedOn w:val="Tabelanormal"/>
    <w:rsid w:val="00A622C3"/>
    <w:tblPr>
      <w:tblStyleRowBandSize w:val="1"/>
      <w:tblStyleColBandSize w:val="1"/>
      <w:tblCellMar>
        <w:top w:w="28" w:type="dxa"/>
        <w:left w:w="115" w:type="dxa"/>
        <w:bottom w:w="28" w:type="dxa"/>
        <w:right w:w="115" w:type="dxa"/>
      </w:tblCellMar>
    </w:tblPr>
  </w:style>
  <w:style w:type="table" w:customStyle="1" w:styleId="afc">
    <w:basedOn w:val="Tabelanormal"/>
    <w:rsid w:val="00A622C3"/>
    <w:tblPr>
      <w:tblStyleRowBandSize w:val="1"/>
      <w:tblStyleColBandSize w:val="1"/>
      <w:tblCellMar>
        <w:top w:w="28" w:type="dxa"/>
        <w:left w:w="115" w:type="dxa"/>
        <w:bottom w:w="28" w:type="dxa"/>
        <w:right w:w="115" w:type="dxa"/>
      </w:tblCellMar>
    </w:tblPr>
  </w:style>
  <w:style w:type="table" w:customStyle="1" w:styleId="afd">
    <w:basedOn w:val="Tabelanormal"/>
    <w:rsid w:val="00A622C3"/>
    <w:tblPr>
      <w:tblStyleRowBandSize w:val="1"/>
      <w:tblStyleColBandSize w:val="1"/>
      <w:tblCellMar>
        <w:top w:w="55" w:type="dxa"/>
        <w:left w:w="44" w:type="dxa"/>
        <w:bottom w:w="55" w:type="dxa"/>
        <w:right w:w="55" w:type="dxa"/>
      </w:tblCellMar>
    </w:tblPr>
  </w:style>
  <w:style w:type="table" w:customStyle="1" w:styleId="afe">
    <w:basedOn w:val="Tabelanormal"/>
    <w:rsid w:val="00A622C3"/>
    <w:tblPr>
      <w:tblStyleRowBandSize w:val="1"/>
      <w:tblStyleColBandSize w:val="1"/>
      <w:tblCellMar>
        <w:top w:w="28" w:type="dxa"/>
        <w:left w:w="115" w:type="dxa"/>
        <w:bottom w:w="28" w:type="dxa"/>
        <w:right w:w="115" w:type="dxa"/>
      </w:tblCellMar>
    </w:tblPr>
  </w:style>
  <w:style w:type="table" w:customStyle="1" w:styleId="aff">
    <w:basedOn w:val="Tabelanormal"/>
    <w:rsid w:val="00A622C3"/>
    <w:tblPr>
      <w:tblStyleRowBandSize w:val="1"/>
      <w:tblStyleColBandSize w:val="1"/>
      <w:tblCellMar>
        <w:left w:w="115" w:type="dxa"/>
        <w:right w:w="115" w:type="dxa"/>
      </w:tblCellMar>
    </w:tblPr>
  </w:style>
  <w:style w:type="table" w:customStyle="1" w:styleId="aff0">
    <w:basedOn w:val="Tabelanormal"/>
    <w:rsid w:val="00A622C3"/>
    <w:tblPr>
      <w:tblStyleRowBandSize w:val="1"/>
      <w:tblStyleColBandSize w:val="1"/>
      <w:tblCellMar>
        <w:top w:w="28" w:type="dxa"/>
        <w:left w:w="115" w:type="dxa"/>
        <w:bottom w:w="28" w:type="dxa"/>
        <w:right w:w="115" w:type="dxa"/>
      </w:tblCellMar>
    </w:tblPr>
  </w:style>
  <w:style w:type="table" w:customStyle="1" w:styleId="aff1">
    <w:basedOn w:val="Tabelanormal"/>
    <w:rsid w:val="00A622C3"/>
    <w:tblPr>
      <w:tblStyleRowBandSize w:val="1"/>
      <w:tblStyleColBandSize w:val="1"/>
      <w:tblCellMar>
        <w:top w:w="28" w:type="dxa"/>
        <w:left w:w="115" w:type="dxa"/>
        <w:bottom w:w="28" w:type="dxa"/>
        <w:right w:w="115" w:type="dxa"/>
      </w:tblCellMar>
    </w:tblPr>
  </w:style>
  <w:style w:type="table" w:customStyle="1" w:styleId="aff2">
    <w:basedOn w:val="Tabelanormal"/>
    <w:rsid w:val="00A622C3"/>
    <w:tblPr>
      <w:tblStyleRowBandSize w:val="1"/>
      <w:tblStyleColBandSize w:val="1"/>
      <w:tblCellMar>
        <w:top w:w="28" w:type="dxa"/>
        <w:left w:w="115" w:type="dxa"/>
        <w:bottom w:w="28" w:type="dxa"/>
        <w:right w:w="115" w:type="dxa"/>
      </w:tblCellMar>
    </w:tblPr>
  </w:style>
  <w:style w:type="table" w:customStyle="1" w:styleId="aff3">
    <w:basedOn w:val="Tabelanormal"/>
    <w:rsid w:val="00A622C3"/>
    <w:tblPr>
      <w:tblStyleRowBandSize w:val="1"/>
      <w:tblStyleColBandSize w:val="1"/>
      <w:tblCellMar>
        <w:left w:w="115" w:type="dxa"/>
        <w:right w:w="115" w:type="dxa"/>
      </w:tblCellMar>
    </w:tblPr>
  </w:style>
  <w:style w:type="table" w:customStyle="1" w:styleId="aff4">
    <w:basedOn w:val="Tabelanormal"/>
    <w:rsid w:val="00A622C3"/>
    <w:tblPr>
      <w:tblStyleRowBandSize w:val="1"/>
      <w:tblStyleColBandSize w:val="1"/>
      <w:tblCellMar>
        <w:left w:w="115" w:type="dxa"/>
        <w:right w:w="115" w:type="dxa"/>
      </w:tblCellMar>
    </w:tblPr>
  </w:style>
  <w:style w:type="table" w:customStyle="1" w:styleId="aff5">
    <w:basedOn w:val="Tabelanormal"/>
    <w:rsid w:val="00A622C3"/>
    <w:tblPr>
      <w:tblStyleRowBandSize w:val="1"/>
      <w:tblStyleColBandSize w:val="1"/>
      <w:tblCellMar>
        <w:left w:w="115" w:type="dxa"/>
        <w:right w:w="115" w:type="dxa"/>
      </w:tblCellMar>
    </w:tblPr>
  </w:style>
  <w:style w:type="table" w:customStyle="1" w:styleId="aff6">
    <w:basedOn w:val="Tabelanormal"/>
    <w:rsid w:val="00A622C3"/>
    <w:tblPr>
      <w:tblStyleRowBandSize w:val="1"/>
      <w:tblStyleColBandSize w:val="1"/>
      <w:tblCellMar>
        <w:left w:w="115" w:type="dxa"/>
        <w:right w:w="115" w:type="dxa"/>
      </w:tblCellMar>
    </w:tblPr>
  </w:style>
  <w:style w:type="table" w:customStyle="1" w:styleId="aff7">
    <w:basedOn w:val="Tabelanormal"/>
    <w:rsid w:val="00A622C3"/>
    <w:tblPr>
      <w:tblStyleRowBandSize w:val="1"/>
      <w:tblStyleColBandSize w:val="1"/>
      <w:tblCellMar>
        <w:top w:w="28" w:type="dxa"/>
        <w:left w:w="115" w:type="dxa"/>
        <w:bottom w:w="28" w:type="dxa"/>
        <w:right w:w="115" w:type="dxa"/>
      </w:tblCellMar>
    </w:tblPr>
  </w:style>
  <w:style w:type="table" w:customStyle="1" w:styleId="aff8">
    <w:basedOn w:val="Tabelanormal"/>
    <w:rsid w:val="00A622C3"/>
    <w:tblPr>
      <w:tblStyleRowBandSize w:val="1"/>
      <w:tblStyleColBandSize w:val="1"/>
      <w:tblCellMar>
        <w:top w:w="28" w:type="dxa"/>
        <w:left w:w="115" w:type="dxa"/>
        <w:bottom w:w="28" w:type="dxa"/>
        <w:right w:w="115" w:type="dxa"/>
      </w:tblCellMar>
    </w:tblPr>
  </w:style>
  <w:style w:type="table" w:customStyle="1" w:styleId="aff9">
    <w:basedOn w:val="Tabelanormal"/>
    <w:rsid w:val="00A622C3"/>
    <w:tblPr>
      <w:tblStyleRowBandSize w:val="1"/>
      <w:tblStyleColBandSize w:val="1"/>
      <w:tblCellMar>
        <w:top w:w="28" w:type="dxa"/>
        <w:left w:w="115" w:type="dxa"/>
        <w:bottom w:w="28" w:type="dxa"/>
        <w:right w:w="115" w:type="dxa"/>
      </w:tblCellMar>
    </w:tblPr>
  </w:style>
  <w:style w:type="table" w:customStyle="1" w:styleId="affa">
    <w:basedOn w:val="Tabelanormal"/>
    <w:rsid w:val="00A622C3"/>
    <w:tblPr>
      <w:tblStyleRowBandSize w:val="1"/>
      <w:tblStyleColBandSize w:val="1"/>
      <w:tblCellMar>
        <w:top w:w="28" w:type="dxa"/>
        <w:left w:w="115" w:type="dxa"/>
        <w:bottom w:w="28" w:type="dxa"/>
        <w:right w:w="115" w:type="dxa"/>
      </w:tblCellMar>
    </w:tblPr>
  </w:style>
  <w:style w:type="table" w:customStyle="1" w:styleId="affb">
    <w:basedOn w:val="Tabelanormal"/>
    <w:rsid w:val="00A622C3"/>
    <w:tblPr>
      <w:tblStyleRowBandSize w:val="1"/>
      <w:tblStyleColBandSize w:val="1"/>
      <w:tblCellMar>
        <w:top w:w="28" w:type="dxa"/>
        <w:left w:w="115" w:type="dxa"/>
        <w:bottom w:w="28" w:type="dxa"/>
        <w:right w:w="115" w:type="dxa"/>
      </w:tblCellMar>
    </w:tblPr>
  </w:style>
  <w:style w:type="table" w:customStyle="1" w:styleId="affc">
    <w:basedOn w:val="Tabelanormal"/>
    <w:rsid w:val="00A622C3"/>
    <w:tblPr>
      <w:tblStyleRowBandSize w:val="1"/>
      <w:tblStyleColBandSize w:val="1"/>
      <w:tblCellMar>
        <w:top w:w="28" w:type="dxa"/>
        <w:left w:w="115" w:type="dxa"/>
        <w:bottom w:w="28" w:type="dxa"/>
        <w:right w:w="115" w:type="dxa"/>
      </w:tblCellMar>
    </w:tblPr>
  </w:style>
  <w:style w:type="table" w:customStyle="1" w:styleId="affd">
    <w:basedOn w:val="Tabelanormal"/>
    <w:rsid w:val="00A622C3"/>
    <w:rPr>
      <w:sz w:val="20"/>
      <w:szCs w:val="20"/>
    </w:rPr>
    <w:tblPr>
      <w:tblStyleRowBandSize w:val="1"/>
      <w:tblStyleColBandSize w:val="1"/>
    </w:tblPr>
  </w:style>
  <w:style w:type="table" w:customStyle="1" w:styleId="affe">
    <w:basedOn w:val="Tabelanormal"/>
    <w:rsid w:val="00A622C3"/>
    <w:rPr>
      <w:sz w:val="20"/>
      <w:szCs w:val="20"/>
    </w:rPr>
    <w:tblPr>
      <w:tblStyleRowBandSize w:val="1"/>
      <w:tblStyleColBandSize w:val="1"/>
    </w:tblPr>
  </w:style>
  <w:style w:type="table" w:customStyle="1" w:styleId="afff">
    <w:basedOn w:val="Tabelanormal"/>
    <w:rsid w:val="00A622C3"/>
    <w:tblPr>
      <w:tblStyleRowBandSize w:val="1"/>
      <w:tblStyleColBandSize w:val="1"/>
      <w:tblCellMar>
        <w:top w:w="28" w:type="dxa"/>
        <w:left w:w="115" w:type="dxa"/>
        <w:bottom w:w="28" w:type="dxa"/>
        <w:right w:w="115" w:type="dxa"/>
      </w:tblCellMar>
    </w:tblPr>
  </w:style>
  <w:style w:type="table" w:customStyle="1" w:styleId="afff0">
    <w:basedOn w:val="Tabelanormal"/>
    <w:rsid w:val="00A622C3"/>
    <w:rPr>
      <w:sz w:val="20"/>
      <w:szCs w:val="20"/>
    </w:rPr>
    <w:tblPr>
      <w:tblStyleRowBandSize w:val="1"/>
      <w:tblStyleColBandSize w:val="1"/>
    </w:tblPr>
  </w:style>
  <w:style w:type="table" w:customStyle="1" w:styleId="afff1">
    <w:basedOn w:val="Tabelanormal"/>
    <w:rsid w:val="00A622C3"/>
    <w:tblPr>
      <w:tblStyleRowBandSize w:val="1"/>
      <w:tblStyleColBandSize w:val="1"/>
      <w:tblCellMar>
        <w:top w:w="28" w:type="dxa"/>
        <w:left w:w="115" w:type="dxa"/>
        <w:bottom w:w="28" w:type="dxa"/>
        <w:right w:w="115" w:type="dxa"/>
      </w:tblCellMar>
    </w:tblPr>
  </w:style>
  <w:style w:type="table" w:customStyle="1" w:styleId="afff2">
    <w:basedOn w:val="Tabelanormal"/>
    <w:rsid w:val="00A622C3"/>
    <w:rPr>
      <w:sz w:val="20"/>
      <w:szCs w:val="20"/>
    </w:rPr>
    <w:tblPr>
      <w:tblStyleRowBandSize w:val="1"/>
      <w:tblStyleColBandSize w:val="1"/>
    </w:tblPr>
  </w:style>
  <w:style w:type="table" w:customStyle="1" w:styleId="afff3">
    <w:basedOn w:val="Tabelanormal"/>
    <w:rsid w:val="00A622C3"/>
    <w:tblPr>
      <w:tblStyleRowBandSize w:val="1"/>
      <w:tblStyleColBandSize w:val="1"/>
      <w:tblCellMar>
        <w:left w:w="115" w:type="dxa"/>
        <w:right w:w="115" w:type="dxa"/>
      </w:tblCellMar>
    </w:tblPr>
  </w:style>
  <w:style w:type="table" w:customStyle="1" w:styleId="afff4">
    <w:basedOn w:val="Tabelanormal"/>
    <w:rsid w:val="00A622C3"/>
    <w:tblPr>
      <w:tblStyleRowBandSize w:val="1"/>
      <w:tblStyleColBandSize w:val="1"/>
      <w:tblCellMar>
        <w:left w:w="115" w:type="dxa"/>
        <w:right w:w="115" w:type="dxa"/>
      </w:tblCellMar>
    </w:tblPr>
  </w:style>
  <w:style w:type="table" w:customStyle="1" w:styleId="afff5">
    <w:basedOn w:val="Tabelanormal"/>
    <w:rsid w:val="00A622C3"/>
    <w:tblPr>
      <w:tblStyleRowBandSize w:val="1"/>
      <w:tblStyleColBandSize w:val="1"/>
      <w:tblCellMar>
        <w:left w:w="115" w:type="dxa"/>
        <w:right w:w="115" w:type="dxa"/>
      </w:tblCellMar>
    </w:tblPr>
  </w:style>
  <w:style w:type="table" w:customStyle="1" w:styleId="afff6">
    <w:basedOn w:val="Tabelanormal"/>
    <w:rsid w:val="00A622C3"/>
    <w:tblPr>
      <w:tblStyleRowBandSize w:val="1"/>
      <w:tblStyleColBandSize w:val="1"/>
      <w:tblCellMar>
        <w:left w:w="115" w:type="dxa"/>
        <w:right w:w="115" w:type="dxa"/>
      </w:tblCellMar>
    </w:tblPr>
  </w:style>
  <w:style w:type="table" w:customStyle="1" w:styleId="afff7">
    <w:basedOn w:val="Tabelanormal"/>
    <w:rsid w:val="00A622C3"/>
    <w:tblPr>
      <w:tblStyleRowBandSize w:val="1"/>
      <w:tblStyleColBandSize w:val="1"/>
      <w:tblCellMar>
        <w:left w:w="115" w:type="dxa"/>
        <w:right w:w="115" w:type="dxa"/>
      </w:tblCellMar>
    </w:tblPr>
  </w:style>
  <w:style w:type="table" w:customStyle="1" w:styleId="afff8">
    <w:basedOn w:val="Tabelanormal"/>
    <w:rsid w:val="00A622C3"/>
    <w:tblPr>
      <w:tblStyleRowBandSize w:val="1"/>
      <w:tblStyleColBandSize w:val="1"/>
      <w:tblCellMar>
        <w:left w:w="115" w:type="dxa"/>
        <w:right w:w="115" w:type="dxa"/>
      </w:tblCellMar>
    </w:tblPr>
  </w:style>
  <w:style w:type="table" w:customStyle="1" w:styleId="afff9">
    <w:basedOn w:val="Tabelanormal"/>
    <w:rsid w:val="00A622C3"/>
    <w:tblPr>
      <w:tblStyleRowBandSize w:val="1"/>
      <w:tblStyleColBandSize w:val="1"/>
      <w:tblCellMar>
        <w:top w:w="28" w:type="dxa"/>
        <w:left w:w="115" w:type="dxa"/>
        <w:bottom w:w="28" w:type="dxa"/>
        <w:right w:w="115" w:type="dxa"/>
      </w:tblCellMar>
    </w:tblPr>
  </w:style>
  <w:style w:type="table" w:customStyle="1" w:styleId="afffa">
    <w:basedOn w:val="Tabelanormal"/>
    <w:rsid w:val="00A622C3"/>
    <w:tblPr>
      <w:tblStyleRowBandSize w:val="1"/>
      <w:tblStyleColBandSize w:val="1"/>
      <w:tblCellMar>
        <w:top w:w="28" w:type="dxa"/>
        <w:left w:w="115" w:type="dxa"/>
        <w:bottom w:w="28" w:type="dxa"/>
        <w:right w:w="115" w:type="dxa"/>
      </w:tblCellMar>
    </w:tblPr>
  </w:style>
  <w:style w:type="table" w:customStyle="1" w:styleId="afffb">
    <w:basedOn w:val="Tabelanormal"/>
    <w:rsid w:val="00A622C3"/>
    <w:tblPr>
      <w:tblStyleRowBandSize w:val="1"/>
      <w:tblStyleColBandSize w:val="1"/>
      <w:tblCellMar>
        <w:top w:w="55" w:type="dxa"/>
        <w:left w:w="44" w:type="dxa"/>
        <w:bottom w:w="55" w:type="dxa"/>
        <w:right w:w="55" w:type="dxa"/>
      </w:tblCellMar>
    </w:tblPr>
  </w:style>
  <w:style w:type="table" w:customStyle="1" w:styleId="afffc">
    <w:basedOn w:val="Tabelanormal"/>
    <w:rsid w:val="00A622C3"/>
    <w:tblPr>
      <w:tblStyleRowBandSize w:val="1"/>
      <w:tblStyleColBandSize w:val="1"/>
      <w:tblCellMar>
        <w:top w:w="28" w:type="dxa"/>
        <w:left w:w="115" w:type="dxa"/>
        <w:bottom w:w="28" w:type="dxa"/>
        <w:right w:w="115" w:type="dxa"/>
      </w:tblCellMar>
    </w:tblPr>
  </w:style>
  <w:style w:type="table" w:customStyle="1" w:styleId="afffd">
    <w:basedOn w:val="Tabelanormal"/>
    <w:rsid w:val="00A622C3"/>
    <w:tblPr>
      <w:tblStyleRowBandSize w:val="1"/>
      <w:tblStyleColBandSize w:val="1"/>
      <w:tblCellMar>
        <w:left w:w="115" w:type="dxa"/>
        <w:right w:w="115" w:type="dxa"/>
      </w:tblCellMar>
    </w:tblPr>
  </w:style>
  <w:style w:type="table" w:customStyle="1" w:styleId="afffe">
    <w:basedOn w:val="Tabelanormal"/>
    <w:rsid w:val="00A622C3"/>
    <w:tblPr>
      <w:tblStyleRowBandSize w:val="1"/>
      <w:tblStyleColBandSize w:val="1"/>
      <w:tblCellMar>
        <w:top w:w="28" w:type="dxa"/>
        <w:left w:w="115" w:type="dxa"/>
        <w:bottom w:w="28" w:type="dxa"/>
        <w:right w:w="115" w:type="dxa"/>
      </w:tblCellMar>
    </w:tblPr>
  </w:style>
  <w:style w:type="table" w:customStyle="1" w:styleId="affff">
    <w:basedOn w:val="Tabelanormal"/>
    <w:rsid w:val="00A622C3"/>
    <w:tblPr>
      <w:tblStyleRowBandSize w:val="1"/>
      <w:tblStyleColBandSize w:val="1"/>
      <w:tblCellMar>
        <w:top w:w="28" w:type="dxa"/>
        <w:left w:w="115" w:type="dxa"/>
        <w:bottom w:w="28" w:type="dxa"/>
        <w:right w:w="115" w:type="dxa"/>
      </w:tblCellMar>
    </w:tblPr>
  </w:style>
  <w:style w:type="table" w:customStyle="1" w:styleId="affff0">
    <w:basedOn w:val="Tabelanormal"/>
    <w:rsid w:val="00A622C3"/>
    <w:tblPr>
      <w:tblStyleRowBandSize w:val="1"/>
      <w:tblStyleColBandSize w:val="1"/>
      <w:tblCellMar>
        <w:top w:w="28" w:type="dxa"/>
        <w:left w:w="115" w:type="dxa"/>
        <w:bottom w:w="28" w:type="dxa"/>
        <w:right w:w="115" w:type="dxa"/>
      </w:tblCellMar>
    </w:tblPr>
  </w:style>
  <w:style w:type="table" w:customStyle="1" w:styleId="affff1">
    <w:basedOn w:val="Tabelanormal"/>
    <w:rsid w:val="00A622C3"/>
    <w:tblPr>
      <w:tblStyleRowBandSize w:val="1"/>
      <w:tblStyleColBandSize w:val="1"/>
      <w:tblCellMar>
        <w:left w:w="115" w:type="dxa"/>
        <w:right w:w="115" w:type="dxa"/>
      </w:tblCellMar>
    </w:tblPr>
  </w:style>
  <w:style w:type="table" w:customStyle="1" w:styleId="affff2">
    <w:basedOn w:val="Tabelanormal"/>
    <w:rsid w:val="00A622C3"/>
    <w:tblPr>
      <w:tblStyleRowBandSize w:val="1"/>
      <w:tblStyleColBandSize w:val="1"/>
      <w:tblCellMar>
        <w:left w:w="115" w:type="dxa"/>
        <w:right w:w="115" w:type="dxa"/>
      </w:tblCellMar>
    </w:tblPr>
  </w:style>
  <w:style w:type="table" w:customStyle="1" w:styleId="affff3">
    <w:basedOn w:val="Tabelanormal"/>
    <w:rsid w:val="00A622C3"/>
    <w:tblPr>
      <w:tblStyleRowBandSize w:val="1"/>
      <w:tblStyleColBandSize w:val="1"/>
      <w:tblCellMar>
        <w:left w:w="115" w:type="dxa"/>
        <w:right w:w="115" w:type="dxa"/>
      </w:tblCellMar>
    </w:tblPr>
  </w:style>
  <w:style w:type="table" w:customStyle="1" w:styleId="affff4">
    <w:basedOn w:val="Tabelanormal"/>
    <w:rsid w:val="00A622C3"/>
    <w:tblPr>
      <w:tblStyleRowBandSize w:val="1"/>
      <w:tblStyleColBandSize w:val="1"/>
      <w:tblCellMar>
        <w:left w:w="115" w:type="dxa"/>
        <w:right w:w="115" w:type="dxa"/>
      </w:tblCellMar>
    </w:tblPr>
  </w:style>
  <w:style w:type="table" w:customStyle="1" w:styleId="affff5">
    <w:basedOn w:val="Tabelanormal"/>
    <w:rsid w:val="00A622C3"/>
    <w:tblPr>
      <w:tblStyleRowBandSize w:val="1"/>
      <w:tblStyleColBandSize w:val="1"/>
      <w:tblCellMar>
        <w:top w:w="28" w:type="dxa"/>
        <w:left w:w="115" w:type="dxa"/>
        <w:bottom w:w="28" w:type="dxa"/>
        <w:right w:w="115" w:type="dxa"/>
      </w:tblCellMar>
    </w:tblPr>
  </w:style>
  <w:style w:type="table" w:customStyle="1" w:styleId="affff6">
    <w:basedOn w:val="Tabelanormal"/>
    <w:rsid w:val="00A622C3"/>
    <w:tblPr>
      <w:tblStyleRowBandSize w:val="1"/>
      <w:tblStyleColBandSize w:val="1"/>
      <w:tblCellMar>
        <w:top w:w="28" w:type="dxa"/>
        <w:left w:w="115" w:type="dxa"/>
        <w:bottom w:w="28" w:type="dxa"/>
        <w:right w:w="115" w:type="dxa"/>
      </w:tblCellMar>
    </w:tblPr>
  </w:style>
  <w:style w:type="table" w:customStyle="1" w:styleId="affff7">
    <w:basedOn w:val="Tabelanormal"/>
    <w:rsid w:val="00A622C3"/>
    <w:tblPr>
      <w:tblStyleRowBandSize w:val="1"/>
      <w:tblStyleColBandSize w:val="1"/>
      <w:tblCellMar>
        <w:top w:w="28" w:type="dxa"/>
        <w:left w:w="115" w:type="dxa"/>
        <w:bottom w:w="28" w:type="dxa"/>
        <w:right w:w="115" w:type="dxa"/>
      </w:tblCellMar>
    </w:tblPr>
  </w:style>
  <w:style w:type="table" w:customStyle="1" w:styleId="affff8">
    <w:basedOn w:val="Tabelanormal"/>
    <w:rsid w:val="00A622C3"/>
    <w:tblPr>
      <w:tblStyleRowBandSize w:val="1"/>
      <w:tblStyleColBandSize w:val="1"/>
      <w:tblCellMar>
        <w:top w:w="28" w:type="dxa"/>
        <w:left w:w="115" w:type="dxa"/>
        <w:bottom w:w="28" w:type="dxa"/>
        <w:right w:w="115" w:type="dxa"/>
      </w:tblCellMar>
    </w:tblPr>
  </w:style>
  <w:style w:type="table" w:customStyle="1" w:styleId="affff9">
    <w:basedOn w:val="Tabelanormal"/>
    <w:rsid w:val="00A622C3"/>
    <w:tblPr>
      <w:tblStyleRowBandSize w:val="1"/>
      <w:tblStyleColBandSize w:val="1"/>
      <w:tblCellMar>
        <w:top w:w="28" w:type="dxa"/>
        <w:left w:w="115" w:type="dxa"/>
        <w:bottom w:w="28" w:type="dxa"/>
        <w:right w:w="115" w:type="dxa"/>
      </w:tblCellMar>
    </w:tblPr>
  </w:style>
  <w:style w:type="table" w:customStyle="1" w:styleId="affffa">
    <w:basedOn w:val="Tabelanormal"/>
    <w:rsid w:val="00A622C3"/>
    <w:tblPr>
      <w:tblStyleRowBandSize w:val="1"/>
      <w:tblStyleColBandSize w:val="1"/>
      <w:tblCellMar>
        <w:top w:w="28" w:type="dxa"/>
        <w:left w:w="115" w:type="dxa"/>
        <w:bottom w:w="28" w:type="dxa"/>
        <w:right w:w="115" w:type="dxa"/>
      </w:tblCellMar>
    </w:tblPr>
  </w:style>
  <w:style w:type="table" w:customStyle="1" w:styleId="affffb">
    <w:basedOn w:val="Tabelanormal"/>
    <w:rsid w:val="00A622C3"/>
    <w:rPr>
      <w:sz w:val="20"/>
      <w:szCs w:val="20"/>
    </w:rPr>
    <w:tblPr>
      <w:tblStyleRowBandSize w:val="1"/>
      <w:tblStyleColBandSize w:val="1"/>
    </w:tblPr>
  </w:style>
  <w:style w:type="table" w:customStyle="1" w:styleId="affffc">
    <w:basedOn w:val="Tabelanormal"/>
    <w:rsid w:val="00A622C3"/>
    <w:rPr>
      <w:sz w:val="20"/>
      <w:szCs w:val="20"/>
    </w:rPr>
    <w:tblPr>
      <w:tblStyleRowBandSize w:val="1"/>
      <w:tblStyleColBandSize w:val="1"/>
    </w:tblPr>
  </w:style>
  <w:style w:type="table" w:customStyle="1" w:styleId="affffd">
    <w:basedOn w:val="Tabelanormal"/>
    <w:rsid w:val="00A622C3"/>
    <w:tblPr>
      <w:tblStyleRowBandSize w:val="1"/>
      <w:tblStyleColBandSize w:val="1"/>
      <w:tblCellMar>
        <w:top w:w="28" w:type="dxa"/>
        <w:left w:w="115" w:type="dxa"/>
        <w:bottom w:w="28" w:type="dxa"/>
        <w:right w:w="115" w:type="dxa"/>
      </w:tblCellMar>
    </w:tblPr>
  </w:style>
  <w:style w:type="table" w:customStyle="1" w:styleId="affffe">
    <w:basedOn w:val="Tabelanormal"/>
    <w:rsid w:val="00A622C3"/>
    <w:rPr>
      <w:sz w:val="20"/>
      <w:szCs w:val="20"/>
    </w:rPr>
    <w:tblPr>
      <w:tblStyleRowBandSize w:val="1"/>
      <w:tblStyleColBandSize w:val="1"/>
    </w:tblPr>
  </w:style>
  <w:style w:type="table" w:customStyle="1" w:styleId="afffff">
    <w:basedOn w:val="Tabelanormal"/>
    <w:rsid w:val="00A622C3"/>
    <w:tblPr>
      <w:tblStyleRowBandSize w:val="1"/>
      <w:tblStyleColBandSize w:val="1"/>
      <w:tblCellMar>
        <w:top w:w="28" w:type="dxa"/>
        <w:left w:w="115" w:type="dxa"/>
        <w:bottom w:w="28" w:type="dxa"/>
        <w:right w:w="115" w:type="dxa"/>
      </w:tblCellMar>
    </w:tblPr>
  </w:style>
  <w:style w:type="table" w:customStyle="1" w:styleId="afffff0">
    <w:basedOn w:val="Tabelanormal"/>
    <w:rsid w:val="00A622C3"/>
    <w:rPr>
      <w:sz w:val="20"/>
      <w:szCs w:val="20"/>
    </w:rPr>
    <w:tblPr>
      <w:tblStyleRowBandSize w:val="1"/>
      <w:tblStyleColBandSize w:val="1"/>
    </w:tblPr>
  </w:style>
  <w:style w:type="table" w:customStyle="1" w:styleId="afffff1">
    <w:basedOn w:val="Tabelanormal"/>
    <w:rsid w:val="00A622C3"/>
    <w:tblPr>
      <w:tblStyleRowBandSize w:val="1"/>
      <w:tblStyleColBandSize w:val="1"/>
      <w:tblCellMar>
        <w:left w:w="115" w:type="dxa"/>
        <w:right w:w="115" w:type="dxa"/>
      </w:tblCellMar>
    </w:tblPr>
  </w:style>
  <w:style w:type="table" w:customStyle="1" w:styleId="afffff2">
    <w:basedOn w:val="Tabelanormal"/>
    <w:rsid w:val="00A622C3"/>
    <w:tblPr>
      <w:tblStyleRowBandSize w:val="1"/>
      <w:tblStyleColBandSize w:val="1"/>
      <w:tblCellMar>
        <w:left w:w="115" w:type="dxa"/>
        <w:right w:w="115" w:type="dxa"/>
      </w:tblCellMar>
    </w:tblPr>
  </w:style>
  <w:style w:type="table" w:customStyle="1" w:styleId="afffff3">
    <w:basedOn w:val="Tabelanormal"/>
    <w:rsid w:val="00A622C3"/>
    <w:tblPr>
      <w:tblStyleRowBandSize w:val="1"/>
      <w:tblStyleColBandSize w:val="1"/>
      <w:tblCellMar>
        <w:left w:w="115" w:type="dxa"/>
        <w:right w:w="115" w:type="dxa"/>
      </w:tblCellMar>
    </w:tblPr>
  </w:style>
  <w:style w:type="table" w:customStyle="1" w:styleId="afffff4">
    <w:basedOn w:val="Tabelanormal"/>
    <w:rsid w:val="00A622C3"/>
    <w:tblPr>
      <w:tblStyleRowBandSize w:val="1"/>
      <w:tblStyleColBandSize w:val="1"/>
      <w:tblCellMar>
        <w:left w:w="115" w:type="dxa"/>
        <w:right w:w="115" w:type="dxa"/>
      </w:tblCellMar>
    </w:tblPr>
  </w:style>
  <w:style w:type="table" w:customStyle="1" w:styleId="afffff5">
    <w:basedOn w:val="Tabelanormal"/>
    <w:rsid w:val="00A622C3"/>
    <w:tblPr>
      <w:tblStyleRowBandSize w:val="1"/>
      <w:tblStyleColBandSize w:val="1"/>
      <w:tblCellMar>
        <w:left w:w="115" w:type="dxa"/>
        <w:right w:w="115" w:type="dxa"/>
      </w:tblCellMar>
    </w:tblPr>
  </w:style>
  <w:style w:type="table" w:customStyle="1" w:styleId="afffff6">
    <w:basedOn w:val="Tabelanormal"/>
    <w:rsid w:val="00A622C3"/>
    <w:tblPr>
      <w:tblStyleRowBandSize w:val="1"/>
      <w:tblStyleColBandSize w:val="1"/>
      <w:tblCellMar>
        <w:left w:w="115" w:type="dxa"/>
        <w:right w:w="115" w:type="dxa"/>
      </w:tblCellMar>
    </w:tblPr>
  </w:style>
  <w:style w:type="paragraph" w:styleId="Subttulo">
    <w:name w:val="Subtitle"/>
    <w:basedOn w:val="Normal4"/>
    <w:next w:val="Normal4"/>
    <w:link w:val="SubttuloChar"/>
    <w:rsid w:val="00A622C3"/>
    <w:pPr>
      <w:keepNext/>
      <w:spacing w:before="240" w:after="120"/>
      <w:jc w:val="center"/>
    </w:pPr>
    <w:rPr>
      <w:rFonts w:ascii="Arial" w:eastAsia="Arial" w:hAnsi="Arial" w:cs="Arial"/>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16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1-2014/2013/Lei/L12846.htm" TargetMode="External"/><Relationship Id="rId21" Type="http://schemas.openxmlformats.org/officeDocument/2006/relationships/hyperlink" Target="https://www.planalto.gov.br/ccivil_03/_ato2019-2022/2022/Decreto/D11246.htm" TargetMode="External"/><Relationship Id="rId34" Type="http://schemas.openxmlformats.org/officeDocument/2006/relationships/hyperlink" Target="https://www.planalto.gov.br/ccivil_03/leis/l8078compilado.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s://www.trt7.jus.br/index.php?option=com_content&amp;view=article&amp;id=4885&amp;Itemid=125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2/Decreto/D11246.htm" TargetMode="External"/><Relationship Id="rId24" Type="http://schemas.openxmlformats.org/officeDocument/2006/relationships/hyperlink" Target="https://www.gov.br/compras/pt-br/acesso-a-informacao/legislacao/instrucoes-normativas/instrucao-normativa-seges-me-no-77-de-4-de-novembro-de-2022" TargetMode="External"/><Relationship Id="rId32" Type="http://schemas.openxmlformats.org/officeDocument/2006/relationships/hyperlink" Target="http://www.planalto.gov.br/ccivil_03/AGU/Pareceres/2019-2022/PRC-JL-01-2020.htm" TargetMode="External"/><Relationship Id="rId37" Type="http://schemas.openxmlformats.org/officeDocument/2006/relationships/hyperlink" Target="https://www.portaltransparencia.gov.br/sancoes/cnep"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s://www.planalto.gov.br/ccivil_03/_ato2019-2022/2022/Decreto/D11246.htm" TargetMode="External"/><Relationship Id="rId28" Type="http://schemas.openxmlformats.org/officeDocument/2006/relationships/hyperlink" Target="http://www.planalto.gov.br/ccivil_03/Leis/LCP/Lcp123.htm"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s://www.planalto.gov.br/ccivil_03/leis/l8429.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planalto.gov.br/ccivil_03/_ato2019-2022/2022/Decreto/D11246.htm" TargetMode="External"/><Relationship Id="rId27" Type="http://schemas.openxmlformats.org/officeDocument/2006/relationships/hyperlink" Target="https://www.gov.br/compras/pt-br/acesso-a-informacao/legislacao/instrucoes-normativas/instrucao-normativa-seges-me-no-77-de-4-de-novembro-de-2022" TargetMode="External"/><Relationship Id="rId30" Type="http://schemas.openxmlformats.org/officeDocument/2006/relationships/hyperlink" Target="https://www.gov.br/compras/pt-br/acesso-a-informacao/legislacao/instrucoes-normativas/instrucao-normativa-no-53-de-8-de-julho-de-2020" TargetMode="External"/><Relationship Id="rId35" Type="http://schemas.openxmlformats.org/officeDocument/2006/relationships/hyperlink" Target="http://www.planalto.gov.br/ccivil_03/_ato2019-2022/2021/lei/L14133.htm" TargetMode="External"/><Relationship Id="rId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planalto.gov.br/ccivil_03/_ato2019-2022/2021/lei/L14133.ht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dKcoosu9wUBgj+0Aa1pfRbkP4A==">CgMxLjAyCGguZ2pkZ3hzMgloLjMwajB6bGwyCWguMWZvYjl0ZTgAciExZk5Jc2prYWlIeEwzbnk2QnA3S0hlYU5DeDN0YlVnc2w=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25</Pages>
  <Words>8837</Words>
  <Characters>47725</Characters>
  <Application>Microsoft Office Word</Application>
  <DocSecurity>0</DocSecurity>
  <Lines>397</Lines>
  <Paragraphs>112</Paragraphs>
  <ScaleCrop>false</ScaleCrop>
  <Company>Tribunal Regional do Trabalho da 7a Regiao</Company>
  <LinksUpToDate>false</LinksUpToDate>
  <CharactersWithSpaces>56450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renata.damasceno</dc:creator>
  <cp:lastModifiedBy>Cristina Veras</cp:lastModifiedBy>
  <cp:revision>17</cp:revision>
  <dcterms:created xsi:type="dcterms:W3CDTF">2026-08-26T12:15:00Z</dcterms:created>
  <dcterms:modified xsi:type="dcterms:W3CDTF">2026-09-02T22:28:00Z</dcterms:modified>
</cp:coreProperties>
</file>