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2410" w14:textId="77777777" w:rsidR="001B7252" w:rsidRDefault="001B7252" w:rsidP="001B7252">
      <w:pPr>
        <w:pStyle w:val="Ttulo7"/>
        <w:spacing w:before="0" w:after="0" w:line="360" w:lineRule="auto"/>
        <w:ind w:right="-57"/>
        <w:jc w:val="center"/>
        <w:rPr>
          <w:rFonts w:ascii="Calibri" w:hAnsi="Calibri" w:cs="Calibri"/>
          <w:sz w:val="22"/>
          <w:szCs w:val="22"/>
        </w:rPr>
      </w:pPr>
      <w:bookmarkStart w:id="0" w:name="OLE_LINK1"/>
      <w:r>
        <w:rPr>
          <w:rFonts w:ascii="Calibri" w:hAnsi="Calibri" w:cs="Calibri"/>
          <w:b/>
          <w:bCs/>
          <w:sz w:val="22"/>
          <w:szCs w:val="22"/>
          <w:u w:val="single"/>
        </w:rPr>
        <w:t>ESTUDOS TÉCNICOS PRELIMINARES - ETP</w:t>
      </w:r>
    </w:p>
    <w:p w14:paraId="14C47140" w14:textId="77777777" w:rsidR="00F5511C" w:rsidRDefault="00F5511C">
      <w:pPr>
        <w:spacing w:line="276" w:lineRule="auto"/>
        <w:ind w:right="-57"/>
        <w:rPr>
          <w:rFonts w:ascii="Calibri" w:hAnsi="Calibri" w:cs="Calibri"/>
          <w:b/>
          <w:bCs/>
          <w:sz w:val="22"/>
          <w:szCs w:val="22"/>
        </w:rPr>
      </w:pPr>
    </w:p>
    <w:bookmarkEnd w:id="0"/>
    <w:p w14:paraId="782E9EFB" w14:textId="0C968160" w:rsidR="00336835" w:rsidRDefault="00336835" w:rsidP="00336835">
      <w:pPr>
        <w:pStyle w:val="PargrafodaLista"/>
        <w:spacing w:after="120" w:line="276" w:lineRule="auto"/>
        <w:ind w:left="0"/>
        <w:jc w:val="both"/>
        <w:rPr>
          <w:rFonts w:ascii="Calibri" w:hAnsi="Calibri" w:cs="Calibri"/>
          <w:b/>
          <w:sz w:val="22"/>
          <w:szCs w:val="22"/>
        </w:rPr>
      </w:pPr>
      <w:r w:rsidRPr="00336835">
        <w:rPr>
          <w:rFonts w:ascii="Calibri" w:hAnsi="Calibri" w:cs="Calibri"/>
          <w:b/>
          <w:sz w:val="22"/>
          <w:szCs w:val="22"/>
        </w:rPr>
        <w:t>PROAD Nº 2</w:t>
      </w:r>
      <w:r w:rsidR="00976F36">
        <w:rPr>
          <w:rFonts w:ascii="Calibri" w:hAnsi="Calibri" w:cs="Calibri"/>
          <w:b/>
          <w:sz w:val="22"/>
          <w:szCs w:val="22"/>
        </w:rPr>
        <w:t>936</w:t>
      </w:r>
      <w:r w:rsidRPr="00336835">
        <w:rPr>
          <w:rFonts w:ascii="Calibri" w:hAnsi="Calibri" w:cs="Calibri"/>
          <w:b/>
          <w:sz w:val="22"/>
          <w:szCs w:val="22"/>
        </w:rPr>
        <w:t>/202</w:t>
      </w:r>
      <w:r w:rsidR="00976F36">
        <w:rPr>
          <w:rFonts w:ascii="Calibri" w:hAnsi="Calibri" w:cs="Calibri"/>
          <w:b/>
          <w:sz w:val="22"/>
          <w:szCs w:val="22"/>
        </w:rPr>
        <w:t>6</w:t>
      </w:r>
    </w:p>
    <w:p w14:paraId="46ABC543" w14:textId="77777777" w:rsidR="00336835" w:rsidRPr="00336835" w:rsidRDefault="00336835" w:rsidP="00336835">
      <w:pPr>
        <w:pStyle w:val="PargrafodaLista"/>
        <w:spacing w:after="120" w:line="276" w:lineRule="auto"/>
        <w:ind w:left="0"/>
        <w:jc w:val="both"/>
        <w:rPr>
          <w:rFonts w:ascii="Calibri" w:hAnsi="Calibri" w:cs="Calibri"/>
          <w:sz w:val="22"/>
          <w:szCs w:val="22"/>
        </w:rPr>
      </w:pPr>
    </w:p>
    <w:p w14:paraId="5A153335" w14:textId="77777777" w:rsidR="00976F36" w:rsidRPr="00976F36" w:rsidRDefault="00131F3F" w:rsidP="00632F97">
      <w:pPr>
        <w:pStyle w:val="PargrafodaLista"/>
        <w:numPr>
          <w:ilvl w:val="0"/>
          <w:numId w:val="3"/>
        </w:numPr>
        <w:spacing w:after="160" w:line="276" w:lineRule="auto"/>
        <w:ind w:left="284" w:hanging="284"/>
        <w:jc w:val="both"/>
        <w:rPr>
          <w:rFonts w:ascii="Calibri" w:hAnsi="Calibri" w:cs="Calibri"/>
          <w:bCs/>
          <w:sz w:val="22"/>
          <w:szCs w:val="22"/>
        </w:rPr>
      </w:pPr>
      <w:r w:rsidRPr="00976F36">
        <w:rPr>
          <w:rFonts w:ascii="Calibri" w:hAnsi="Calibri" w:cs="Calibri"/>
          <w:b/>
          <w:bCs/>
          <w:sz w:val="22"/>
          <w:szCs w:val="22"/>
        </w:rPr>
        <w:t>DESCRIÇÃO DA NECESSIDADE</w:t>
      </w:r>
      <w:r w:rsidR="0069522A" w:rsidRPr="00976F36">
        <w:rPr>
          <w:rFonts w:ascii="Calibri" w:hAnsi="Calibri" w:cs="Calibri"/>
          <w:b/>
          <w:sz w:val="22"/>
          <w:szCs w:val="22"/>
        </w:rPr>
        <w:t>:</w:t>
      </w:r>
      <w:r w:rsidR="000B06B6" w:rsidRPr="00976F36">
        <w:rPr>
          <w:rFonts w:ascii="Calibri" w:hAnsi="Calibri" w:cs="Calibri"/>
          <w:b/>
          <w:sz w:val="22"/>
          <w:szCs w:val="22"/>
        </w:rPr>
        <w:t xml:space="preserve"> </w:t>
      </w:r>
    </w:p>
    <w:p w14:paraId="2BEC14C3" w14:textId="77777777" w:rsidR="002D1E34" w:rsidRPr="00AB2B30" w:rsidRDefault="002D1E34" w:rsidP="002D1E34">
      <w:pPr>
        <w:pStyle w:val="PargrafodaLista"/>
        <w:spacing w:after="160" w:line="276" w:lineRule="auto"/>
        <w:ind w:left="0"/>
        <w:jc w:val="both"/>
        <w:rPr>
          <w:rFonts w:ascii="Calibri" w:hAnsi="Calibri" w:cs="Calibri"/>
          <w:bCs/>
          <w:sz w:val="22"/>
          <w:szCs w:val="22"/>
        </w:rPr>
      </w:pPr>
      <w:r w:rsidRPr="00AB2B30">
        <w:rPr>
          <w:rFonts w:ascii="Calibri" w:hAnsi="Calibri" w:cs="Calibri"/>
          <w:bCs/>
          <w:sz w:val="22"/>
          <w:szCs w:val="22"/>
        </w:rPr>
        <w:t xml:space="preserve">A análise para a escolha da solução considerou as alternativas disponíveis no mercado de climatização, como sistemas centrais (VRF ou </w:t>
      </w:r>
      <w:proofErr w:type="spellStart"/>
      <w:r w:rsidRPr="00AB2B30">
        <w:rPr>
          <w:rFonts w:ascii="Calibri" w:hAnsi="Calibri" w:cs="Calibri"/>
          <w:bCs/>
          <w:sz w:val="22"/>
          <w:szCs w:val="22"/>
        </w:rPr>
        <w:t>Chillers</w:t>
      </w:r>
      <w:proofErr w:type="spellEnd"/>
      <w:r w:rsidRPr="00AB2B30">
        <w:rPr>
          <w:rFonts w:ascii="Calibri" w:hAnsi="Calibri" w:cs="Calibri"/>
          <w:bCs/>
          <w:sz w:val="22"/>
          <w:szCs w:val="22"/>
        </w:rPr>
        <w:t xml:space="preserve">) e aparelhos de janela. Os sistemas centrais, embora eficientes em grandes vãos, exigiriam reformas estruturais complexas, redes de dutos e paradas prolongadas das atividades nas unidades. Já os aparelhos de janela apresentam baixa eficiência energética e altos níveis de ruído. Assim, a solução tipo </w:t>
      </w:r>
      <w:r w:rsidRPr="00AB2B30">
        <w:rPr>
          <w:rFonts w:ascii="Calibri" w:hAnsi="Calibri" w:cs="Calibri"/>
          <w:b/>
          <w:sz w:val="22"/>
          <w:szCs w:val="22"/>
        </w:rPr>
        <w:t>Split Inverter com Gás R32</w:t>
      </w:r>
      <w:r w:rsidRPr="00AB2B30">
        <w:rPr>
          <w:rFonts w:ascii="Calibri" w:hAnsi="Calibri" w:cs="Calibri"/>
          <w:bCs/>
          <w:sz w:val="22"/>
          <w:szCs w:val="22"/>
        </w:rPr>
        <w:t xml:space="preserve"> foi a escolhida por oferecer o melhor equilíbrio entre facilidade de instalação, baixo custo de manutenção, silêncio operacional e alta eficiência energética, adaptando-se perfeitamente à infraestrutura atual das Varas do Trabalho sem necessidade de intervenções civis de grande porte.</w:t>
      </w:r>
    </w:p>
    <w:p w14:paraId="1AE53FC1" w14:textId="77777777" w:rsidR="002D1E34" w:rsidRPr="00AB2B30" w:rsidRDefault="002D1E34" w:rsidP="002D1E34">
      <w:pPr>
        <w:pStyle w:val="PargrafodaLista"/>
        <w:spacing w:after="160" w:line="276" w:lineRule="auto"/>
        <w:ind w:left="0"/>
        <w:jc w:val="both"/>
        <w:rPr>
          <w:rFonts w:ascii="Calibri" w:hAnsi="Calibri" w:cs="Calibri"/>
          <w:bCs/>
          <w:sz w:val="22"/>
          <w:szCs w:val="22"/>
        </w:rPr>
      </w:pPr>
      <w:r w:rsidRPr="00AB2B30">
        <w:rPr>
          <w:rFonts w:ascii="Calibri" w:hAnsi="Calibri" w:cs="Calibri"/>
          <w:bCs/>
          <w:sz w:val="22"/>
          <w:szCs w:val="22"/>
        </w:rPr>
        <w:t xml:space="preserve">A contratação integrada, compreendendo o fornecimento do equipamento, a infraestrutura e a instalação completa, justifica-se pela </w:t>
      </w:r>
      <w:r w:rsidRPr="00AB2B30">
        <w:rPr>
          <w:rFonts w:ascii="Calibri" w:hAnsi="Calibri" w:cs="Calibri"/>
          <w:b/>
          <w:sz w:val="22"/>
          <w:szCs w:val="22"/>
        </w:rPr>
        <w:t>interdependência técnica</w:t>
      </w:r>
      <w:r w:rsidRPr="00AB2B30">
        <w:rPr>
          <w:rFonts w:ascii="Calibri" w:hAnsi="Calibri" w:cs="Calibri"/>
          <w:bCs/>
          <w:sz w:val="22"/>
          <w:szCs w:val="22"/>
        </w:rPr>
        <w:t xml:space="preserve"> entre os elementos. A Lei nº 14.133/2021 orienta que o parcelamento deve ser evitado quando comprometer a economia de escala ou a integridade da garantia. Ao unificar o objeto, o Tribunal assegura a responsabilidade técnica única, evitando que falhas de performance gerem conflitos de atribuição entre fabricante e instalador, o que resguarda a Administração e garante que o sistema seja entregue em pleno funcionamento sob uma única ART/RRT.</w:t>
      </w:r>
    </w:p>
    <w:p w14:paraId="67CB8A74" w14:textId="77777777" w:rsidR="002D1E34" w:rsidRPr="00BA7EF6" w:rsidRDefault="002D1E34" w:rsidP="002D1E34">
      <w:pPr>
        <w:pStyle w:val="PargrafodaLista"/>
        <w:spacing w:after="160" w:line="276" w:lineRule="auto"/>
        <w:ind w:left="0"/>
        <w:jc w:val="both"/>
        <w:rPr>
          <w:rFonts w:ascii="Calibri" w:hAnsi="Calibri" w:cs="Calibri"/>
          <w:bCs/>
          <w:sz w:val="22"/>
          <w:szCs w:val="22"/>
        </w:rPr>
      </w:pPr>
      <w:r w:rsidRPr="00BA7EF6">
        <w:rPr>
          <w:rFonts w:ascii="Calibri" w:hAnsi="Calibri" w:cs="Calibri"/>
          <w:bCs/>
          <w:sz w:val="22"/>
          <w:szCs w:val="22"/>
        </w:rPr>
        <w:t xml:space="preserve">A presente contratação, a ser operacionalizada via </w:t>
      </w:r>
      <w:r w:rsidRPr="00BA7EF6">
        <w:rPr>
          <w:rFonts w:ascii="Calibri" w:hAnsi="Calibri" w:cs="Calibri"/>
          <w:b/>
          <w:sz w:val="22"/>
          <w:szCs w:val="22"/>
        </w:rPr>
        <w:t>Sistema de Registro de Preços (SRP),</w:t>
      </w:r>
      <w:r w:rsidRPr="00BA7EF6">
        <w:rPr>
          <w:rFonts w:ascii="Calibri" w:hAnsi="Calibri" w:cs="Calibri"/>
          <w:bCs/>
          <w:sz w:val="22"/>
          <w:szCs w:val="22"/>
        </w:rPr>
        <w:t xml:space="preserve"> justifica-se pela necessidade contínua e essencial de reposição de unidades de ar-condicionado que se encontram defeituosas, obsoletas ou em final de vida útil nas diversas edificações do </w:t>
      </w:r>
      <w:r w:rsidRPr="00BA7EF6">
        <w:rPr>
          <w:rFonts w:ascii="Calibri" w:hAnsi="Calibri" w:cs="Calibri"/>
          <w:b/>
          <w:sz w:val="22"/>
          <w:szCs w:val="22"/>
        </w:rPr>
        <w:t>Tribunal Regional do Trabalho da 7ª Região</w:t>
      </w:r>
      <w:r w:rsidRPr="00BA7EF6">
        <w:rPr>
          <w:rFonts w:ascii="Calibri" w:hAnsi="Calibri" w:cs="Calibri"/>
          <w:bCs/>
          <w:sz w:val="22"/>
          <w:szCs w:val="22"/>
        </w:rPr>
        <w:t xml:space="preserve">. Muitas das unidades atualmente em operação possuem mais de </w:t>
      </w:r>
      <w:r>
        <w:rPr>
          <w:rFonts w:ascii="Calibri" w:hAnsi="Calibri" w:cs="Calibri"/>
          <w:bCs/>
          <w:sz w:val="22"/>
          <w:szCs w:val="22"/>
        </w:rPr>
        <w:t>05 (cinco)</w:t>
      </w:r>
      <w:r w:rsidRPr="00BA7EF6">
        <w:rPr>
          <w:rFonts w:ascii="Calibri" w:hAnsi="Calibri" w:cs="Calibri"/>
          <w:bCs/>
          <w:sz w:val="22"/>
          <w:szCs w:val="22"/>
        </w:rPr>
        <w:t xml:space="preserve"> anos de uso, o que resulta em falhas recorrentes e na elevação progressiva dos custos de manutenção corretiva.</w:t>
      </w:r>
    </w:p>
    <w:p w14:paraId="068B7EF4" w14:textId="77777777" w:rsidR="002D1E34" w:rsidRPr="00BA7EF6" w:rsidRDefault="002D1E34" w:rsidP="002D1E34">
      <w:pPr>
        <w:spacing w:after="160" w:line="278" w:lineRule="auto"/>
        <w:jc w:val="both"/>
        <w:rPr>
          <w:rFonts w:ascii="Calibri" w:hAnsi="Calibri" w:cs="Calibri"/>
          <w:bCs/>
          <w:sz w:val="22"/>
          <w:szCs w:val="22"/>
          <w:lang w:eastAsia="pt-BR"/>
        </w:rPr>
      </w:pPr>
      <w:r w:rsidRPr="00BA7EF6">
        <w:rPr>
          <w:rFonts w:ascii="Calibri" w:hAnsi="Calibri" w:cs="Calibri"/>
          <w:bCs/>
          <w:sz w:val="22"/>
          <w:szCs w:val="22"/>
          <w:lang w:eastAsia="pt-BR"/>
        </w:rPr>
        <w:t>A necessidade fundamenta-se nos seguintes pilares estratégicos e normativos:</w:t>
      </w:r>
    </w:p>
    <w:p w14:paraId="3091FEF4" w14:textId="77777777" w:rsidR="002D1E34" w:rsidRPr="00BA7EF6" w:rsidRDefault="002D1E34" w:rsidP="002D1E34">
      <w:pPr>
        <w:numPr>
          <w:ilvl w:val="0"/>
          <w:numId w:val="34"/>
        </w:numPr>
        <w:suppressAutoHyphens w:val="0"/>
        <w:autoSpaceDN/>
        <w:spacing w:after="160" w:line="278" w:lineRule="auto"/>
        <w:jc w:val="both"/>
        <w:textAlignment w:val="auto"/>
        <w:rPr>
          <w:rFonts w:ascii="Calibri" w:hAnsi="Calibri" w:cs="Calibri"/>
          <w:bCs/>
          <w:sz w:val="22"/>
          <w:szCs w:val="22"/>
          <w:lang w:eastAsia="pt-BR"/>
        </w:rPr>
      </w:pPr>
      <w:r w:rsidRPr="00BA7EF6">
        <w:rPr>
          <w:rFonts w:ascii="Calibri" w:hAnsi="Calibri" w:cs="Calibri"/>
          <w:b/>
          <w:sz w:val="22"/>
          <w:szCs w:val="22"/>
          <w:lang w:eastAsia="pt-BR"/>
        </w:rPr>
        <w:t>Garantia da Continuidade Operacional e Condições de Trabalho</w:t>
      </w:r>
      <w:r w:rsidRPr="00BA7EF6">
        <w:rPr>
          <w:rFonts w:ascii="Calibri" w:hAnsi="Calibri" w:cs="Calibri"/>
          <w:bCs/>
          <w:sz w:val="22"/>
          <w:szCs w:val="22"/>
          <w:lang w:eastAsia="pt-BR"/>
        </w:rPr>
        <w:t>: A climatização adequada é fator determinante para o conforto térmico, saúde e produtividade de magistrados, servidores e usuários, sendo essencial para o adequado funcionamento das unidades judiciárias e administrativas. A indisponibilidade desses equipamentos compromete diretamente as condições de trabalho e o atendimento ao público.</w:t>
      </w:r>
    </w:p>
    <w:p w14:paraId="6BEEA5D6" w14:textId="77777777" w:rsidR="002D1E34" w:rsidRPr="00BA7EF6" w:rsidRDefault="002D1E34" w:rsidP="002D1E34">
      <w:pPr>
        <w:numPr>
          <w:ilvl w:val="0"/>
          <w:numId w:val="34"/>
        </w:numPr>
        <w:suppressAutoHyphens w:val="0"/>
        <w:autoSpaceDN/>
        <w:spacing w:after="160" w:line="278" w:lineRule="auto"/>
        <w:jc w:val="both"/>
        <w:textAlignment w:val="auto"/>
        <w:rPr>
          <w:rFonts w:ascii="Calibri" w:hAnsi="Calibri" w:cs="Calibri"/>
          <w:bCs/>
          <w:sz w:val="22"/>
          <w:szCs w:val="22"/>
          <w:lang w:eastAsia="pt-BR"/>
        </w:rPr>
      </w:pPr>
      <w:r w:rsidRPr="00BA7EF6">
        <w:rPr>
          <w:rFonts w:ascii="Calibri" w:hAnsi="Calibri" w:cs="Calibri"/>
          <w:b/>
          <w:sz w:val="22"/>
          <w:szCs w:val="22"/>
          <w:lang w:eastAsia="pt-BR"/>
        </w:rPr>
        <w:t>Preservação de Ativos e Equipamentos Eletrônicos</w:t>
      </w:r>
      <w:r w:rsidRPr="00BA7EF6">
        <w:rPr>
          <w:rFonts w:ascii="Calibri" w:hAnsi="Calibri" w:cs="Calibri"/>
          <w:bCs/>
          <w:sz w:val="22"/>
          <w:szCs w:val="22"/>
          <w:lang w:eastAsia="pt-BR"/>
        </w:rPr>
        <w:t>: O controle de temperatura é imprescindível para a conservação de equipamentos eletrônicos sensíveis</w:t>
      </w:r>
      <w:r>
        <w:rPr>
          <w:rFonts w:ascii="Calibri" w:hAnsi="Calibri" w:cs="Calibri"/>
          <w:bCs/>
          <w:sz w:val="22"/>
          <w:szCs w:val="22"/>
          <w:lang w:eastAsia="pt-BR"/>
        </w:rPr>
        <w:t xml:space="preserve"> de tecnologia da </w:t>
      </w:r>
      <w:r>
        <w:rPr>
          <w:rFonts w:ascii="Calibri" w:hAnsi="Calibri" w:cs="Calibri"/>
          <w:bCs/>
          <w:sz w:val="22"/>
          <w:szCs w:val="22"/>
          <w:lang w:eastAsia="pt-BR"/>
        </w:rPr>
        <w:lastRenderedPageBreak/>
        <w:t>informação</w:t>
      </w:r>
      <w:r w:rsidRPr="00BA7EF6">
        <w:rPr>
          <w:rFonts w:ascii="Calibri" w:hAnsi="Calibri" w:cs="Calibri"/>
          <w:bCs/>
          <w:sz w:val="22"/>
          <w:szCs w:val="22"/>
          <w:lang w:eastAsia="pt-BR"/>
        </w:rPr>
        <w:t>, cuja integridade depende de ambientes climatizados para evitar superaquecimento e danos prematuros.</w:t>
      </w:r>
    </w:p>
    <w:p w14:paraId="3D5D02B8" w14:textId="77777777" w:rsidR="002D1E34" w:rsidRPr="00BA7EF6" w:rsidRDefault="002D1E34" w:rsidP="002D1E34">
      <w:pPr>
        <w:numPr>
          <w:ilvl w:val="0"/>
          <w:numId w:val="34"/>
        </w:numPr>
        <w:suppressAutoHyphens w:val="0"/>
        <w:autoSpaceDN/>
        <w:spacing w:after="160" w:line="278" w:lineRule="auto"/>
        <w:jc w:val="both"/>
        <w:textAlignment w:val="auto"/>
        <w:rPr>
          <w:rFonts w:ascii="Calibri" w:hAnsi="Calibri" w:cs="Calibri"/>
          <w:bCs/>
          <w:sz w:val="22"/>
          <w:szCs w:val="22"/>
          <w:lang w:eastAsia="pt-BR"/>
        </w:rPr>
      </w:pPr>
      <w:r w:rsidRPr="00BA7EF6">
        <w:rPr>
          <w:rFonts w:ascii="Calibri" w:hAnsi="Calibri" w:cs="Calibri"/>
          <w:b/>
          <w:sz w:val="22"/>
          <w:szCs w:val="22"/>
          <w:lang w:eastAsia="pt-BR"/>
        </w:rPr>
        <w:t>Eficiência Energética e Sustentabilidade</w:t>
      </w:r>
      <w:r w:rsidRPr="00BA7EF6">
        <w:rPr>
          <w:rFonts w:ascii="Calibri" w:hAnsi="Calibri" w:cs="Calibri"/>
          <w:bCs/>
          <w:sz w:val="22"/>
          <w:szCs w:val="22"/>
          <w:lang w:eastAsia="pt-BR"/>
        </w:rPr>
        <w:t xml:space="preserve">: A substituição gradual de aparelhos obsoletos por modelos modernos e com tecnologias mais eficientes (como a </w:t>
      </w:r>
      <w:proofErr w:type="gramStart"/>
      <w:r w:rsidRPr="00BA7EF6">
        <w:rPr>
          <w:rFonts w:ascii="Calibri" w:hAnsi="Calibri" w:cs="Calibri"/>
          <w:bCs/>
          <w:sz w:val="22"/>
          <w:szCs w:val="22"/>
          <w:lang w:eastAsia="pt-BR"/>
        </w:rPr>
        <w:t>tecnologia Inverter</w:t>
      </w:r>
      <w:proofErr w:type="gramEnd"/>
      <w:r w:rsidRPr="00BA7EF6">
        <w:rPr>
          <w:rFonts w:ascii="Calibri" w:hAnsi="Calibri" w:cs="Calibri"/>
          <w:bCs/>
          <w:sz w:val="22"/>
          <w:szCs w:val="22"/>
          <w:lang w:eastAsia="pt-BR"/>
        </w:rPr>
        <w:t>) reduz o consumo de energia elétrica. Tal medida alinha-se às diretrizes de sustentabilidade e ao uso racional de recursos públicos, gerando economia nos custos operacionais a longo prazo.</w:t>
      </w:r>
    </w:p>
    <w:p w14:paraId="343E2FFA" w14:textId="77777777" w:rsidR="002D1E34" w:rsidRPr="00BA7EF6" w:rsidRDefault="002D1E34" w:rsidP="002D1E34">
      <w:pPr>
        <w:numPr>
          <w:ilvl w:val="0"/>
          <w:numId w:val="34"/>
        </w:numPr>
        <w:suppressAutoHyphens w:val="0"/>
        <w:autoSpaceDN/>
        <w:spacing w:after="160" w:line="278" w:lineRule="auto"/>
        <w:jc w:val="both"/>
        <w:textAlignment w:val="auto"/>
        <w:rPr>
          <w:rFonts w:ascii="Calibri" w:hAnsi="Calibri" w:cs="Calibri"/>
          <w:bCs/>
          <w:sz w:val="22"/>
          <w:szCs w:val="22"/>
          <w:lang w:eastAsia="pt-BR"/>
        </w:rPr>
      </w:pPr>
      <w:r w:rsidRPr="00BA7EF6">
        <w:rPr>
          <w:rFonts w:ascii="Calibri" w:hAnsi="Calibri" w:cs="Calibri"/>
          <w:b/>
          <w:sz w:val="22"/>
          <w:szCs w:val="22"/>
          <w:lang w:eastAsia="pt-BR"/>
        </w:rPr>
        <w:t>Agilidade Administrativa via Registro de Preços</w:t>
      </w:r>
      <w:r w:rsidRPr="00BA7EF6">
        <w:rPr>
          <w:rFonts w:ascii="Calibri" w:hAnsi="Calibri" w:cs="Calibri"/>
          <w:bCs/>
          <w:sz w:val="22"/>
          <w:szCs w:val="22"/>
          <w:lang w:eastAsia="pt-BR"/>
        </w:rPr>
        <w:t>: A adoção do SRP é estratégica para permitir aquisições sob demanda conforme a real necessidade, evitando a imobilização de recursos em estoques excessivos e reduzindo o tempo de resposta para a substituição de equipamentos inoperantes.</w:t>
      </w:r>
    </w:p>
    <w:p w14:paraId="50C34935" w14:textId="77777777" w:rsidR="002D1E34" w:rsidRPr="00BA7EF6" w:rsidRDefault="002D1E34" w:rsidP="002D1E34">
      <w:pPr>
        <w:numPr>
          <w:ilvl w:val="0"/>
          <w:numId w:val="34"/>
        </w:numPr>
        <w:suppressAutoHyphens w:val="0"/>
        <w:autoSpaceDN/>
        <w:spacing w:after="160" w:line="278" w:lineRule="auto"/>
        <w:jc w:val="both"/>
        <w:textAlignment w:val="auto"/>
        <w:rPr>
          <w:rFonts w:ascii="Calibri" w:hAnsi="Calibri" w:cs="Calibri"/>
          <w:bCs/>
          <w:sz w:val="22"/>
          <w:szCs w:val="22"/>
          <w:lang w:eastAsia="pt-BR"/>
        </w:rPr>
      </w:pPr>
      <w:r w:rsidRPr="00BA7EF6">
        <w:rPr>
          <w:rFonts w:ascii="Calibri" w:hAnsi="Calibri" w:cs="Calibri"/>
          <w:b/>
          <w:sz w:val="22"/>
          <w:szCs w:val="22"/>
          <w:lang w:eastAsia="pt-BR"/>
        </w:rPr>
        <w:t>Segurança e Higiene do Trabalho</w:t>
      </w:r>
      <w:r w:rsidRPr="00BA7EF6">
        <w:rPr>
          <w:rFonts w:ascii="Calibri" w:hAnsi="Calibri" w:cs="Calibri"/>
          <w:bCs/>
          <w:sz w:val="22"/>
          <w:szCs w:val="22"/>
          <w:lang w:eastAsia="pt-BR"/>
        </w:rPr>
        <w:t>: A manutenção de ambientes com temperatura controlada favorece o bem-estar e a saúde, garantindo infraestrutura física apropriada para o exercício das atividades judiciais em conformidade com os objetivos de desenvolvimento sustentável e trabalho decente.</w:t>
      </w:r>
    </w:p>
    <w:p w14:paraId="6EDC69B7" w14:textId="77777777" w:rsidR="002D1E34" w:rsidRDefault="002D1E34" w:rsidP="002D1E34">
      <w:pPr>
        <w:spacing w:after="160" w:line="278" w:lineRule="auto"/>
        <w:jc w:val="both"/>
        <w:rPr>
          <w:rFonts w:ascii="Calibri" w:hAnsi="Calibri" w:cs="Calibri"/>
          <w:bCs/>
          <w:sz w:val="22"/>
          <w:szCs w:val="22"/>
          <w:lang w:eastAsia="pt-BR"/>
        </w:rPr>
      </w:pPr>
      <w:r w:rsidRPr="00BA7EF6">
        <w:rPr>
          <w:rFonts w:ascii="Calibri" w:hAnsi="Calibri" w:cs="Calibri"/>
          <w:bCs/>
          <w:sz w:val="22"/>
          <w:szCs w:val="22"/>
          <w:lang w:eastAsia="pt-BR"/>
        </w:rPr>
        <w:t>A contratação é, portanto, medida imperativa para assegurar a funcionalidade, a integridade do patrimônio público e a qualidade na prestação dos serviços institucionais deste Regional.</w:t>
      </w:r>
    </w:p>
    <w:p w14:paraId="73C6EA74" w14:textId="16419DEA" w:rsidR="00F863F9" w:rsidRDefault="0037597F" w:rsidP="00250217">
      <w:pPr>
        <w:pStyle w:val="PargrafodaLista"/>
        <w:numPr>
          <w:ilvl w:val="0"/>
          <w:numId w:val="3"/>
        </w:numPr>
        <w:tabs>
          <w:tab w:val="left" w:pos="284"/>
        </w:tabs>
        <w:spacing w:after="240" w:line="276" w:lineRule="auto"/>
        <w:ind w:left="284" w:hanging="284"/>
        <w:jc w:val="both"/>
        <w:rPr>
          <w:rFonts w:ascii="Calibri" w:hAnsi="Calibri" w:cs="Calibri"/>
          <w:sz w:val="22"/>
          <w:szCs w:val="22"/>
        </w:rPr>
      </w:pPr>
      <w:r w:rsidRPr="00F863F9">
        <w:rPr>
          <w:rFonts w:ascii="Calibri" w:hAnsi="Calibri" w:cs="Calibri"/>
          <w:b/>
          <w:bCs/>
          <w:sz w:val="22"/>
          <w:szCs w:val="22"/>
        </w:rPr>
        <w:t>UNIDADE</w:t>
      </w:r>
      <w:r w:rsidR="00A60577" w:rsidRPr="00F863F9">
        <w:rPr>
          <w:rFonts w:ascii="Calibri" w:hAnsi="Calibri" w:cs="Calibri"/>
          <w:b/>
          <w:sz w:val="22"/>
          <w:szCs w:val="22"/>
        </w:rPr>
        <w:t xml:space="preserve"> REQUISITANTE: </w:t>
      </w:r>
      <w:r w:rsidR="00C63A4A" w:rsidRPr="00F863F9">
        <w:rPr>
          <w:rFonts w:ascii="Calibri" w:hAnsi="Calibri" w:cs="Calibri"/>
          <w:sz w:val="22"/>
          <w:szCs w:val="22"/>
        </w:rPr>
        <w:t>Coordenadoria de Manutenção</w:t>
      </w:r>
      <w:r w:rsidR="00B200E2">
        <w:rPr>
          <w:rFonts w:ascii="Calibri" w:hAnsi="Calibri" w:cs="Calibri"/>
          <w:sz w:val="22"/>
          <w:szCs w:val="22"/>
        </w:rPr>
        <w:t xml:space="preserve"> - CMANUT</w:t>
      </w:r>
    </w:p>
    <w:p w14:paraId="011E82D4" w14:textId="7BAB4019" w:rsidR="004B2482" w:rsidRPr="00CC7A10" w:rsidRDefault="00C772BD" w:rsidP="00250217">
      <w:pPr>
        <w:pStyle w:val="PargrafodaLista"/>
        <w:numPr>
          <w:ilvl w:val="0"/>
          <w:numId w:val="3"/>
        </w:numPr>
        <w:tabs>
          <w:tab w:val="left" w:pos="284"/>
        </w:tabs>
        <w:spacing w:after="240" w:line="276" w:lineRule="auto"/>
        <w:ind w:left="284" w:hanging="284"/>
        <w:jc w:val="both"/>
        <w:rPr>
          <w:rFonts w:ascii="Calibri" w:hAnsi="Calibri" w:cs="Calibri"/>
          <w:sz w:val="22"/>
          <w:szCs w:val="22"/>
        </w:rPr>
      </w:pPr>
      <w:r w:rsidRPr="00CC7A10">
        <w:rPr>
          <w:rFonts w:ascii="Calibri" w:hAnsi="Calibri" w:cs="Calibri"/>
          <w:b/>
          <w:bCs/>
          <w:sz w:val="22"/>
          <w:szCs w:val="22"/>
        </w:rPr>
        <w:t xml:space="preserve">DESCRIÇÃO DOS REQUISITOS DA CONTRATAÇÃO: </w:t>
      </w:r>
    </w:p>
    <w:p w14:paraId="410E75E0" w14:textId="17EB13D9" w:rsidR="009C3FD3" w:rsidRPr="00CC7A10" w:rsidRDefault="0036164F" w:rsidP="005913D1">
      <w:pPr>
        <w:pStyle w:val="PargrafodaLista"/>
        <w:numPr>
          <w:ilvl w:val="1"/>
          <w:numId w:val="3"/>
        </w:numPr>
        <w:tabs>
          <w:tab w:val="left" w:pos="426"/>
        </w:tabs>
        <w:spacing w:line="276" w:lineRule="auto"/>
        <w:ind w:left="284" w:firstLine="0"/>
        <w:jc w:val="both"/>
        <w:rPr>
          <w:rFonts w:ascii="Calibri" w:hAnsi="Calibri" w:cs="Calibri"/>
          <w:bCs/>
          <w:sz w:val="22"/>
          <w:szCs w:val="22"/>
        </w:rPr>
      </w:pPr>
      <w:r w:rsidRPr="00CC7A10">
        <w:rPr>
          <w:rFonts w:ascii="Calibri" w:hAnsi="Calibri" w:cs="Calibri"/>
          <w:b/>
          <w:sz w:val="22"/>
          <w:szCs w:val="22"/>
        </w:rPr>
        <w:t>NATUEZA DO OBJETO:</w:t>
      </w:r>
    </w:p>
    <w:p w14:paraId="0FD12C5C" w14:textId="77777777" w:rsidR="00685A77" w:rsidRPr="00CC7A10" w:rsidRDefault="00685A77" w:rsidP="005913D1">
      <w:pPr>
        <w:pStyle w:val="PargrafodaLista"/>
        <w:spacing w:line="276" w:lineRule="auto"/>
        <w:ind w:left="284"/>
        <w:jc w:val="both"/>
        <w:rPr>
          <w:rFonts w:ascii="Calibri" w:hAnsi="Calibri" w:cs="Calibri"/>
          <w:bCs/>
          <w:sz w:val="22"/>
          <w:szCs w:val="22"/>
        </w:rPr>
      </w:pPr>
    </w:p>
    <w:p w14:paraId="2E56C6FC" w14:textId="49565394" w:rsidR="009C3FD3" w:rsidRPr="00CC7A10" w:rsidRDefault="009C3FD3" w:rsidP="005913D1">
      <w:pPr>
        <w:pStyle w:val="PargrafodaLista"/>
        <w:spacing w:line="276" w:lineRule="auto"/>
        <w:ind w:left="284"/>
        <w:jc w:val="both"/>
        <w:rPr>
          <w:rFonts w:ascii="Calibri" w:hAnsi="Calibri" w:cs="Calibri"/>
          <w:bCs/>
          <w:sz w:val="22"/>
          <w:szCs w:val="22"/>
        </w:rPr>
      </w:pPr>
      <w:r w:rsidRPr="00CC7A10">
        <w:rPr>
          <w:rFonts w:ascii="Calibri" w:hAnsi="Calibri" w:cs="Calibri"/>
          <w:bCs/>
          <w:sz w:val="22"/>
          <w:szCs w:val="22"/>
        </w:rPr>
        <w:t xml:space="preserve">A presente contratação caracteriza-se como </w:t>
      </w:r>
      <w:r w:rsidRPr="00CC7A10">
        <w:rPr>
          <w:rFonts w:ascii="Calibri" w:hAnsi="Calibri" w:cs="Calibri"/>
          <w:b/>
          <w:sz w:val="22"/>
          <w:szCs w:val="22"/>
        </w:rPr>
        <w:t>serviço comum de engenharia</w:t>
      </w:r>
      <w:r w:rsidRPr="00CC7A10">
        <w:rPr>
          <w:rFonts w:ascii="Calibri" w:hAnsi="Calibri" w:cs="Calibri"/>
          <w:bCs/>
          <w:sz w:val="22"/>
          <w:szCs w:val="22"/>
        </w:rPr>
        <w:t>, uma vez que o fornecimento e a instalação dos aparelhos de ar-condicionado tipo Split envolvem intervenções em infraestrutura (redes frigorígenas, pontos elétricos e drenagem), cujos padrões de desempenho e qualidade podem ser objetivamente definidos pelo edital por meio de especificações usuais de mercado. A solução não apresenta complexidade técnica extraordinária, permitindo que os requisitos de qualidade sejam facilmente aferidos pela Administração através de métricas técnicas consagradas e da responsabilidade de profissionais habilitados perante o conselho de classe pertinente.</w:t>
      </w:r>
    </w:p>
    <w:p w14:paraId="03464CC2" w14:textId="77777777" w:rsidR="007A7364" w:rsidRPr="00CC7A10" w:rsidRDefault="007A7364" w:rsidP="005913D1">
      <w:pPr>
        <w:pStyle w:val="PargrafodaLista"/>
        <w:spacing w:line="276" w:lineRule="auto"/>
        <w:ind w:left="284"/>
        <w:jc w:val="both"/>
        <w:rPr>
          <w:rFonts w:ascii="Calibri" w:hAnsi="Calibri" w:cs="Calibri"/>
          <w:bCs/>
          <w:sz w:val="22"/>
          <w:szCs w:val="22"/>
        </w:rPr>
      </w:pPr>
    </w:p>
    <w:p w14:paraId="266905FC" w14:textId="5C32700D" w:rsidR="0065367E" w:rsidRPr="00CC7A10" w:rsidRDefault="009C3FD3" w:rsidP="005913D1">
      <w:pPr>
        <w:pStyle w:val="PargrafodaLista"/>
        <w:spacing w:line="276" w:lineRule="auto"/>
        <w:ind w:left="284"/>
        <w:jc w:val="both"/>
        <w:rPr>
          <w:rFonts w:ascii="Calibri" w:hAnsi="Calibri" w:cs="Calibri"/>
          <w:bCs/>
          <w:sz w:val="22"/>
          <w:szCs w:val="22"/>
        </w:rPr>
      </w:pPr>
      <w:r w:rsidRPr="00CC7A10">
        <w:rPr>
          <w:rFonts w:ascii="Calibri" w:hAnsi="Calibri" w:cs="Calibri"/>
          <w:bCs/>
          <w:sz w:val="22"/>
          <w:szCs w:val="22"/>
        </w:rPr>
        <w:t xml:space="preserve">Em estrita observância aos artigos 28 e 29 da Lei nº 14.133/2021, o objeto enquadra-se na </w:t>
      </w:r>
      <w:r w:rsidRPr="00CC7A10">
        <w:rPr>
          <w:rFonts w:ascii="Calibri" w:hAnsi="Calibri" w:cs="Calibri"/>
          <w:b/>
          <w:sz w:val="22"/>
          <w:szCs w:val="22"/>
        </w:rPr>
        <w:t>modalidade Pregão</w:t>
      </w:r>
      <w:r w:rsidRPr="00CC7A10">
        <w:rPr>
          <w:rFonts w:ascii="Calibri" w:hAnsi="Calibri" w:cs="Calibri"/>
          <w:bCs/>
          <w:sz w:val="22"/>
          <w:szCs w:val="22"/>
        </w:rPr>
        <w:t xml:space="preserve">, em sua forma eletrônica, adotando-se o critério de julgamento pelo menor preço. Esta escolha justifica-se pela ampla competitividade do mercado de climatização e pela possibilidade de padronização do objeto, garantindo uma contratação que concilia a eficiência técnica da </w:t>
      </w:r>
      <w:proofErr w:type="gramStart"/>
      <w:r w:rsidRPr="00CC7A10">
        <w:rPr>
          <w:rFonts w:ascii="Calibri" w:hAnsi="Calibri" w:cs="Calibri"/>
          <w:bCs/>
          <w:sz w:val="22"/>
          <w:szCs w:val="22"/>
        </w:rPr>
        <w:t>tecnologia</w:t>
      </w:r>
      <w:r w:rsidR="004C1DB0" w:rsidRPr="00CC7A10">
        <w:rPr>
          <w:rFonts w:ascii="Calibri" w:hAnsi="Calibri" w:cs="Calibri"/>
          <w:bCs/>
          <w:sz w:val="22"/>
          <w:szCs w:val="22"/>
        </w:rPr>
        <w:t xml:space="preserve"> </w:t>
      </w:r>
      <w:r w:rsidRPr="00CC7A10">
        <w:rPr>
          <w:rFonts w:ascii="Calibri" w:hAnsi="Calibri" w:cs="Calibri"/>
          <w:bCs/>
          <w:sz w:val="22"/>
          <w:szCs w:val="22"/>
        </w:rPr>
        <w:t>Inverter</w:t>
      </w:r>
      <w:proofErr w:type="gramEnd"/>
      <w:r w:rsidRPr="00CC7A10">
        <w:rPr>
          <w:rFonts w:ascii="Calibri" w:hAnsi="Calibri" w:cs="Calibri"/>
          <w:bCs/>
          <w:sz w:val="22"/>
          <w:szCs w:val="22"/>
        </w:rPr>
        <w:t xml:space="preserve"> com a economia de escala proporcionada pelo Sistema de Registro de Preços.</w:t>
      </w:r>
    </w:p>
    <w:p w14:paraId="1D8092D4" w14:textId="77777777" w:rsidR="004C1DB0" w:rsidRPr="00CC7A10" w:rsidRDefault="004C1DB0" w:rsidP="005913D1">
      <w:pPr>
        <w:pStyle w:val="PargrafodaLista"/>
        <w:spacing w:line="276" w:lineRule="auto"/>
        <w:ind w:left="284"/>
        <w:jc w:val="both"/>
        <w:rPr>
          <w:rFonts w:ascii="Calibri" w:hAnsi="Calibri" w:cs="Calibri"/>
          <w:bCs/>
          <w:sz w:val="22"/>
          <w:szCs w:val="22"/>
        </w:rPr>
      </w:pPr>
      <w:r w:rsidRPr="00CC7A10">
        <w:rPr>
          <w:rFonts w:ascii="Calibri" w:hAnsi="Calibri" w:cs="Calibri"/>
          <w:bCs/>
          <w:sz w:val="22"/>
          <w:szCs w:val="22"/>
        </w:rPr>
        <w:lastRenderedPageBreak/>
        <w:t xml:space="preserve">A adoção do </w:t>
      </w:r>
      <w:r w:rsidRPr="00CC7A10">
        <w:rPr>
          <w:rFonts w:ascii="Calibri" w:hAnsi="Calibri" w:cs="Calibri"/>
          <w:b/>
          <w:sz w:val="22"/>
          <w:szCs w:val="22"/>
        </w:rPr>
        <w:t>Sistema de Registro de Preços (SRP)</w:t>
      </w:r>
      <w:r w:rsidRPr="00CC7A10">
        <w:rPr>
          <w:rFonts w:ascii="Calibri" w:hAnsi="Calibri" w:cs="Calibri"/>
          <w:bCs/>
          <w:sz w:val="22"/>
          <w:szCs w:val="22"/>
        </w:rPr>
        <w:t xml:space="preserve"> para a presente contratação fundamenta-se na necessidade contínua e essencial de reposição de unidades de ar-condicionado que se encontram defeituosas, obsoletas ou em final de vida útil nas diversas edificações do Tribunal. Esta escolha estratégica justifica-se pela natureza da demanda, caracterizada por necessidades frequentes, mas de difícil previsão cronológica, o que torna a entrega parcelada o modelo mais adequado para atender à Administração. </w:t>
      </w:r>
    </w:p>
    <w:p w14:paraId="64A2F360" w14:textId="182469D4" w:rsidR="004C1DB0" w:rsidRPr="00CC7A10" w:rsidRDefault="004C1DB0" w:rsidP="005913D1">
      <w:pPr>
        <w:pStyle w:val="PargrafodaLista"/>
        <w:spacing w:line="276" w:lineRule="auto"/>
        <w:ind w:left="284"/>
        <w:jc w:val="both"/>
        <w:rPr>
          <w:rFonts w:ascii="Calibri" w:hAnsi="Calibri" w:cs="Calibri"/>
          <w:bCs/>
          <w:sz w:val="22"/>
          <w:szCs w:val="22"/>
        </w:rPr>
      </w:pPr>
    </w:p>
    <w:p w14:paraId="4115FDBD" w14:textId="0A7BDC9F" w:rsidR="004C1DB0" w:rsidRPr="00CC7A10" w:rsidRDefault="004C1DB0" w:rsidP="005913D1">
      <w:pPr>
        <w:pStyle w:val="PargrafodaLista"/>
        <w:spacing w:line="276" w:lineRule="auto"/>
        <w:ind w:left="284"/>
        <w:jc w:val="both"/>
        <w:rPr>
          <w:rFonts w:ascii="Calibri" w:hAnsi="Calibri" w:cs="Calibri"/>
          <w:bCs/>
          <w:sz w:val="22"/>
          <w:szCs w:val="22"/>
        </w:rPr>
      </w:pPr>
      <w:r w:rsidRPr="00CC7A10">
        <w:rPr>
          <w:rFonts w:ascii="Calibri" w:hAnsi="Calibri" w:cs="Calibri"/>
          <w:bCs/>
          <w:sz w:val="22"/>
          <w:szCs w:val="22"/>
        </w:rPr>
        <w:t>O enquadramento legal da solução estrita observância ao</w:t>
      </w:r>
      <w:r w:rsidR="00CC7A10" w:rsidRPr="00CC7A10">
        <w:rPr>
          <w:rFonts w:ascii="Calibri" w:hAnsi="Calibri" w:cs="Calibri"/>
          <w:bCs/>
          <w:sz w:val="22"/>
          <w:szCs w:val="22"/>
        </w:rPr>
        <w:t xml:space="preserve"> </w:t>
      </w:r>
      <w:r w:rsidR="00CC7A10" w:rsidRPr="00CC7A10">
        <w:rPr>
          <w:rFonts w:ascii="Calibri" w:hAnsi="Calibri" w:cs="Calibri"/>
          <w:b/>
          <w:color w:val="EE0000"/>
          <w:sz w:val="22"/>
          <w:szCs w:val="22"/>
        </w:rPr>
        <w:t>§ único</w:t>
      </w:r>
      <w:r w:rsidR="00CC7A10" w:rsidRPr="00CC7A10">
        <w:rPr>
          <w:rFonts w:ascii="Calibri" w:hAnsi="Calibri" w:cs="Calibri"/>
          <w:bCs/>
          <w:color w:val="EE0000"/>
          <w:sz w:val="22"/>
          <w:szCs w:val="22"/>
        </w:rPr>
        <w:t xml:space="preserve">, </w:t>
      </w:r>
      <w:r w:rsidRPr="00CC7A10">
        <w:rPr>
          <w:rFonts w:ascii="Calibri" w:hAnsi="Calibri" w:cs="Calibri"/>
          <w:b/>
          <w:color w:val="EE0000"/>
          <w:sz w:val="22"/>
          <w:szCs w:val="22"/>
        </w:rPr>
        <w:t>inciso I</w:t>
      </w:r>
      <w:r w:rsidR="00CC7A10" w:rsidRPr="00CC7A10">
        <w:rPr>
          <w:rFonts w:ascii="Calibri" w:hAnsi="Calibri" w:cs="Calibri"/>
          <w:b/>
          <w:color w:val="EE0000"/>
          <w:sz w:val="22"/>
          <w:szCs w:val="22"/>
        </w:rPr>
        <w:t>I</w:t>
      </w:r>
      <w:r w:rsidRPr="00CC7A10">
        <w:rPr>
          <w:rFonts w:ascii="Calibri" w:hAnsi="Calibri" w:cs="Calibri"/>
          <w:b/>
          <w:color w:val="EE0000"/>
          <w:sz w:val="22"/>
          <w:szCs w:val="22"/>
        </w:rPr>
        <w:t xml:space="preserve"> do art. 3º do Decreto nº 11.462/2023</w:t>
      </w:r>
      <w:r w:rsidRPr="00CC7A10">
        <w:rPr>
          <w:rFonts w:ascii="Calibri" w:hAnsi="Calibri" w:cs="Calibri"/>
          <w:bCs/>
          <w:sz w:val="22"/>
          <w:szCs w:val="22"/>
        </w:rPr>
        <w:t xml:space="preserve">, que autoriza o SRP para a contratação de bens e serviços de forma frequente. Tal modelo confere a agilidade necessária para substituir ativos avariados sem a necessidade de múltiplos processos licitatórios, evitando a imobilização de capital em estoques e garantindo a continuidade do serviço público com máxima eficiência administrativa.  </w:t>
      </w:r>
    </w:p>
    <w:p w14:paraId="2F059D09" w14:textId="77777777" w:rsidR="004C1DB0" w:rsidRPr="00CC7A10" w:rsidRDefault="004C1DB0" w:rsidP="005913D1">
      <w:pPr>
        <w:pStyle w:val="PargrafodaLista"/>
        <w:spacing w:line="276" w:lineRule="auto"/>
        <w:ind w:left="284"/>
        <w:jc w:val="both"/>
        <w:rPr>
          <w:rFonts w:ascii="Calibri" w:hAnsi="Calibri" w:cs="Calibri"/>
          <w:bCs/>
          <w:sz w:val="22"/>
          <w:szCs w:val="22"/>
        </w:rPr>
      </w:pPr>
    </w:p>
    <w:p w14:paraId="4E849D5C" w14:textId="38F63BF9" w:rsidR="004C1DB0" w:rsidRPr="00CC7A10" w:rsidRDefault="004C1DB0" w:rsidP="005913D1">
      <w:pPr>
        <w:pStyle w:val="PargrafodaLista"/>
        <w:spacing w:line="276" w:lineRule="auto"/>
        <w:ind w:left="284"/>
        <w:jc w:val="both"/>
        <w:rPr>
          <w:rFonts w:ascii="Calibri" w:hAnsi="Calibri" w:cs="Calibri"/>
          <w:bCs/>
          <w:sz w:val="22"/>
          <w:szCs w:val="22"/>
        </w:rPr>
      </w:pPr>
      <w:r w:rsidRPr="00CC7A10">
        <w:rPr>
          <w:rFonts w:ascii="Calibri" w:hAnsi="Calibri" w:cs="Calibri"/>
          <w:bCs/>
          <w:sz w:val="22"/>
          <w:szCs w:val="22"/>
        </w:rPr>
        <w:t xml:space="preserve">Adicionalmente, informa-se que </w:t>
      </w:r>
      <w:r w:rsidRPr="00CC7A10">
        <w:rPr>
          <w:rFonts w:ascii="Calibri" w:hAnsi="Calibri" w:cs="Calibri"/>
          <w:b/>
          <w:sz w:val="22"/>
          <w:szCs w:val="22"/>
        </w:rPr>
        <w:t>não será admitida a adesão à ata de registro de preços decorrente desta licitação</w:t>
      </w:r>
      <w:r w:rsidRPr="00CC7A10">
        <w:rPr>
          <w:rFonts w:ascii="Calibri" w:hAnsi="Calibri" w:cs="Calibri"/>
          <w:bCs/>
          <w:sz w:val="22"/>
          <w:szCs w:val="22"/>
        </w:rPr>
        <w:t xml:space="preserve">. Esta medida é adotada em razão da limitada capacidade de gerenciamento do Tribunal no que tange aos procedimentos e etapas que decorreriam de possíveis adesões por órgãos não participantes.  </w:t>
      </w:r>
    </w:p>
    <w:p w14:paraId="42DF834E" w14:textId="77777777" w:rsidR="004C1DB0" w:rsidRDefault="004C1DB0" w:rsidP="005913D1">
      <w:pPr>
        <w:pStyle w:val="PargrafodaLista"/>
        <w:spacing w:line="276" w:lineRule="auto"/>
        <w:ind w:left="284"/>
        <w:jc w:val="both"/>
        <w:rPr>
          <w:rFonts w:ascii="Calibri" w:hAnsi="Calibri" w:cs="Calibri"/>
          <w:bCs/>
          <w:sz w:val="22"/>
          <w:szCs w:val="22"/>
        </w:rPr>
      </w:pPr>
    </w:p>
    <w:p w14:paraId="2428AB9D" w14:textId="6A219BF5" w:rsidR="00363A7F" w:rsidRPr="0065367E" w:rsidRDefault="00363A7F" w:rsidP="005913D1">
      <w:pPr>
        <w:pStyle w:val="PargrafodaLista"/>
        <w:numPr>
          <w:ilvl w:val="1"/>
          <w:numId w:val="3"/>
        </w:numPr>
        <w:tabs>
          <w:tab w:val="left" w:pos="426"/>
        </w:tabs>
        <w:spacing w:line="276" w:lineRule="auto"/>
        <w:ind w:left="284" w:firstLine="0"/>
        <w:jc w:val="both"/>
        <w:rPr>
          <w:rFonts w:ascii="Calibri" w:hAnsi="Calibri" w:cs="Calibri"/>
          <w:sz w:val="22"/>
          <w:szCs w:val="22"/>
        </w:rPr>
      </w:pPr>
      <w:r w:rsidRPr="0065367E">
        <w:rPr>
          <w:rFonts w:ascii="Calibri" w:hAnsi="Calibri" w:cs="Calibri"/>
          <w:b/>
          <w:sz w:val="22"/>
          <w:szCs w:val="22"/>
        </w:rPr>
        <w:t>DEFINIÇÃO DO OBJETO</w:t>
      </w:r>
    </w:p>
    <w:p w14:paraId="10DF2ADB" w14:textId="77777777" w:rsidR="00685A77" w:rsidRDefault="00685A77" w:rsidP="005913D1">
      <w:pPr>
        <w:pStyle w:val="PargrafodaLista"/>
        <w:tabs>
          <w:tab w:val="left" w:pos="709"/>
        </w:tabs>
        <w:spacing w:line="276" w:lineRule="auto"/>
        <w:ind w:left="284"/>
        <w:jc w:val="both"/>
        <w:rPr>
          <w:rFonts w:ascii="Calibri" w:hAnsi="Calibri" w:cs="Calibri"/>
          <w:sz w:val="22"/>
          <w:szCs w:val="22"/>
        </w:rPr>
      </w:pPr>
    </w:p>
    <w:p w14:paraId="6BFB6F89" w14:textId="669F85DC" w:rsidR="00762C28" w:rsidRDefault="007A7364" w:rsidP="005913D1">
      <w:pPr>
        <w:pStyle w:val="PargrafodaLista"/>
        <w:tabs>
          <w:tab w:val="left" w:pos="709"/>
        </w:tabs>
        <w:spacing w:line="276" w:lineRule="auto"/>
        <w:ind w:left="284"/>
        <w:jc w:val="both"/>
        <w:rPr>
          <w:rFonts w:asciiTheme="minorHAnsi" w:hAnsiTheme="minorHAnsi" w:cstheme="minorHAnsi"/>
          <w:sz w:val="22"/>
          <w:szCs w:val="22"/>
        </w:rPr>
      </w:pPr>
      <w:r w:rsidRPr="007A7364">
        <w:rPr>
          <w:rFonts w:ascii="Calibri" w:hAnsi="Calibri" w:cs="Calibri"/>
          <w:sz w:val="22"/>
          <w:szCs w:val="22"/>
        </w:rPr>
        <w:t xml:space="preserve">O objeto da presente contratação consiste no </w:t>
      </w:r>
      <w:bookmarkStart w:id="1" w:name="_Hlk228279699"/>
      <w:r w:rsidRPr="007A7364">
        <w:rPr>
          <w:rFonts w:ascii="Calibri" w:hAnsi="Calibri" w:cs="Calibri"/>
          <w:b/>
          <w:bCs/>
          <w:sz w:val="22"/>
          <w:szCs w:val="22"/>
        </w:rPr>
        <w:t xml:space="preserve">Registro de Preços para </w:t>
      </w:r>
      <w:r>
        <w:rPr>
          <w:rFonts w:ascii="Calibri" w:hAnsi="Calibri" w:cs="Calibri"/>
          <w:b/>
          <w:bCs/>
          <w:sz w:val="22"/>
          <w:szCs w:val="22"/>
        </w:rPr>
        <w:t>eventual contratação d</w:t>
      </w:r>
      <w:r w:rsidRPr="007A7364">
        <w:rPr>
          <w:rFonts w:ascii="Calibri" w:hAnsi="Calibri" w:cs="Calibri"/>
          <w:b/>
          <w:bCs/>
          <w:sz w:val="22"/>
          <w:szCs w:val="22"/>
        </w:rPr>
        <w:t>o fornecimento e instalação de aparelhos de ar-condicionado tipo Split, incluindo a execução de infraestrutura completa (redes frigorígenas, pontos de drenagem e interligações elétricas), para atender às necessidades de climatização das unidades administrativas e judiciárias do Tribunal Regional do Trabalho da 7ª Região</w:t>
      </w:r>
      <w:bookmarkEnd w:id="1"/>
      <w:r w:rsidRPr="007A7364">
        <w:rPr>
          <w:rFonts w:ascii="Calibri" w:hAnsi="Calibri" w:cs="Calibri"/>
          <w:sz w:val="22"/>
          <w:szCs w:val="22"/>
        </w:rPr>
        <w:t xml:space="preserve">. A solução abrange o ciclo completo de implementação, desde a entrega dos equipamentos com </w:t>
      </w:r>
      <w:proofErr w:type="gramStart"/>
      <w:r w:rsidRPr="007A7364">
        <w:rPr>
          <w:rFonts w:ascii="Calibri" w:hAnsi="Calibri" w:cs="Calibri"/>
          <w:sz w:val="22"/>
          <w:szCs w:val="22"/>
        </w:rPr>
        <w:t>tecnologia Inverter</w:t>
      </w:r>
      <w:proofErr w:type="gramEnd"/>
      <w:r w:rsidRPr="007A7364">
        <w:rPr>
          <w:rFonts w:ascii="Calibri" w:hAnsi="Calibri" w:cs="Calibri"/>
          <w:sz w:val="22"/>
          <w:szCs w:val="22"/>
        </w:rPr>
        <w:t xml:space="preserve"> até o comissionamento e testes de funcionamento, assegurando a plena eficiência energética e o conforto térmico das edificações, conforme as especificações e quantitativos detalhados no Termo de Referência</w:t>
      </w:r>
      <w:r w:rsidR="00762C28">
        <w:rPr>
          <w:rFonts w:asciiTheme="minorHAnsi" w:hAnsiTheme="minorHAnsi" w:cstheme="minorHAnsi"/>
          <w:sz w:val="22"/>
          <w:szCs w:val="22"/>
        </w:rPr>
        <w:t>.</w:t>
      </w:r>
    </w:p>
    <w:p w14:paraId="1508D382" w14:textId="77777777" w:rsidR="00BE100E" w:rsidRDefault="00BE100E" w:rsidP="00250217">
      <w:pPr>
        <w:pStyle w:val="PargrafodaLista"/>
        <w:tabs>
          <w:tab w:val="left" w:pos="709"/>
        </w:tabs>
        <w:spacing w:line="276" w:lineRule="auto"/>
        <w:ind w:left="993"/>
        <w:jc w:val="both"/>
        <w:rPr>
          <w:rFonts w:ascii="Calibri" w:hAnsi="Calibri" w:cs="Calibri"/>
          <w:sz w:val="22"/>
          <w:szCs w:val="22"/>
        </w:rPr>
      </w:pPr>
    </w:p>
    <w:p w14:paraId="5A5D3105" w14:textId="033901A9" w:rsidR="00AB5C34" w:rsidRPr="00CC7A10" w:rsidRDefault="00606C1D" w:rsidP="00503308">
      <w:pPr>
        <w:pStyle w:val="PargrafodaLista"/>
        <w:numPr>
          <w:ilvl w:val="0"/>
          <w:numId w:val="3"/>
        </w:numPr>
        <w:spacing w:line="276" w:lineRule="auto"/>
        <w:ind w:left="284" w:hanging="284"/>
        <w:jc w:val="both"/>
        <w:rPr>
          <w:rFonts w:ascii="Calibri" w:hAnsi="Calibri" w:cs="Calibri"/>
          <w:bCs/>
          <w:sz w:val="22"/>
          <w:szCs w:val="22"/>
        </w:rPr>
      </w:pPr>
      <w:r w:rsidRPr="00CC7A10">
        <w:rPr>
          <w:rFonts w:ascii="Calibri" w:hAnsi="Calibri" w:cs="Calibri"/>
          <w:b/>
          <w:bCs/>
          <w:sz w:val="22"/>
          <w:szCs w:val="22"/>
        </w:rPr>
        <w:t>LEVANTAMENTO DE SOLUÇÕES DISPONÍVEIS NO MERCADO E JUSTIFICATIVA DA SOLUÇÃO ESCOLHIDA</w:t>
      </w:r>
      <w:r w:rsidR="00043EED" w:rsidRPr="00CC7A10">
        <w:rPr>
          <w:rFonts w:ascii="Calibri" w:hAnsi="Calibri" w:cs="Calibri"/>
          <w:b/>
          <w:sz w:val="22"/>
          <w:szCs w:val="22"/>
        </w:rPr>
        <w:t>:</w:t>
      </w:r>
      <w:r w:rsidR="00043EED" w:rsidRPr="00CC7A10">
        <w:rPr>
          <w:rFonts w:ascii="Calibri" w:hAnsi="Calibri" w:cs="Calibri"/>
          <w:sz w:val="22"/>
          <w:szCs w:val="22"/>
        </w:rPr>
        <w:t xml:space="preserve"> </w:t>
      </w:r>
    </w:p>
    <w:p w14:paraId="65ED5B01" w14:textId="77777777" w:rsidR="00606C1D" w:rsidRPr="00CC7A10" w:rsidRDefault="00606C1D" w:rsidP="00606C1D">
      <w:pPr>
        <w:pStyle w:val="NormalWeb"/>
        <w:spacing w:line="276" w:lineRule="auto"/>
        <w:ind w:left="284"/>
        <w:jc w:val="both"/>
        <w:rPr>
          <w:rFonts w:ascii="Calibri" w:hAnsi="Calibri" w:cs="Calibri"/>
          <w:sz w:val="22"/>
          <w:szCs w:val="22"/>
        </w:rPr>
      </w:pPr>
      <w:r w:rsidRPr="00CC7A10">
        <w:rPr>
          <w:rFonts w:ascii="Calibri" w:hAnsi="Calibri" w:cs="Calibri"/>
          <w:sz w:val="22"/>
          <w:szCs w:val="22"/>
        </w:rPr>
        <w:t>A prospecção de mercado buscou identificar soluções de climatização que conciliassem eficiência energética, baixo impacto estrutural e viabilidade operacional para o parque imobiliário do TRT7. Foram analisadas as seguintes alternativas:</w:t>
      </w:r>
    </w:p>
    <w:p w14:paraId="5DC932DE" w14:textId="77777777" w:rsidR="00606C1D" w:rsidRPr="00CC7A10" w:rsidRDefault="00606C1D" w:rsidP="00606C1D">
      <w:pPr>
        <w:pStyle w:val="NormalWeb"/>
        <w:spacing w:line="276" w:lineRule="auto"/>
        <w:ind w:left="284"/>
        <w:jc w:val="both"/>
        <w:rPr>
          <w:rFonts w:ascii="Calibri" w:hAnsi="Calibri" w:cs="Calibri"/>
          <w:sz w:val="22"/>
          <w:szCs w:val="22"/>
        </w:rPr>
      </w:pPr>
    </w:p>
    <w:p w14:paraId="34EEEB63" w14:textId="77777777" w:rsidR="00606C1D" w:rsidRPr="00CC7A10" w:rsidRDefault="00606C1D" w:rsidP="00606C1D">
      <w:pPr>
        <w:pStyle w:val="NormalWeb"/>
        <w:spacing w:line="276" w:lineRule="auto"/>
        <w:ind w:left="284"/>
        <w:jc w:val="both"/>
        <w:rPr>
          <w:rFonts w:ascii="Calibri" w:hAnsi="Calibri" w:cs="Calibri"/>
          <w:sz w:val="22"/>
          <w:szCs w:val="22"/>
        </w:rPr>
      </w:pPr>
    </w:p>
    <w:p w14:paraId="56A8F942" w14:textId="77777777" w:rsidR="00606C1D" w:rsidRPr="00CC7A10" w:rsidRDefault="00606C1D" w:rsidP="00606C1D">
      <w:pPr>
        <w:pStyle w:val="NormalWeb"/>
        <w:spacing w:line="276" w:lineRule="auto"/>
        <w:ind w:left="284"/>
        <w:jc w:val="both"/>
        <w:rPr>
          <w:rFonts w:ascii="Calibri" w:hAnsi="Calibri" w:cs="Calibri"/>
          <w:sz w:val="22"/>
          <w:szCs w:val="22"/>
        </w:rPr>
      </w:pPr>
    </w:p>
    <w:p w14:paraId="0AB15202" w14:textId="77777777" w:rsidR="00606C1D" w:rsidRPr="00CC7A10" w:rsidRDefault="00606C1D" w:rsidP="00606C1D">
      <w:pPr>
        <w:pStyle w:val="NormalWeb"/>
        <w:spacing w:line="276" w:lineRule="auto"/>
        <w:ind w:left="284"/>
        <w:jc w:val="both"/>
        <w:rPr>
          <w:rFonts w:ascii="Calibri" w:hAnsi="Calibri" w:cs="Calibri"/>
          <w:b/>
          <w:bCs/>
          <w:sz w:val="22"/>
          <w:szCs w:val="22"/>
        </w:rPr>
      </w:pPr>
      <w:r w:rsidRPr="00CC7A10">
        <w:rPr>
          <w:rFonts w:ascii="Calibri" w:hAnsi="Calibri" w:cs="Calibri"/>
          <w:b/>
          <w:bCs/>
          <w:sz w:val="22"/>
          <w:szCs w:val="22"/>
        </w:rPr>
        <w:lastRenderedPageBreak/>
        <w:t>4.1. Análise de Alternativas Tecnológicas</w:t>
      </w:r>
    </w:p>
    <w:p w14:paraId="58BC4822" w14:textId="77777777" w:rsidR="00606C1D" w:rsidRPr="00CC7A10" w:rsidRDefault="00606C1D" w:rsidP="00606C1D">
      <w:pPr>
        <w:pStyle w:val="NormalWeb"/>
        <w:numPr>
          <w:ilvl w:val="0"/>
          <w:numId w:val="40"/>
        </w:numPr>
        <w:spacing w:line="276" w:lineRule="auto"/>
        <w:jc w:val="both"/>
        <w:rPr>
          <w:rFonts w:ascii="Calibri" w:hAnsi="Calibri" w:cs="Calibri"/>
          <w:sz w:val="22"/>
          <w:szCs w:val="22"/>
        </w:rPr>
      </w:pPr>
      <w:r w:rsidRPr="00CC7A10">
        <w:rPr>
          <w:rFonts w:ascii="Calibri" w:hAnsi="Calibri" w:cs="Calibri"/>
          <w:b/>
          <w:bCs/>
          <w:sz w:val="22"/>
          <w:szCs w:val="22"/>
        </w:rPr>
        <w:t xml:space="preserve">Sistemas Centrais (VRF ou </w:t>
      </w:r>
      <w:proofErr w:type="spellStart"/>
      <w:r w:rsidRPr="00CC7A10">
        <w:rPr>
          <w:rFonts w:ascii="Calibri" w:hAnsi="Calibri" w:cs="Calibri"/>
          <w:b/>
          <w:bCs/>
          <w:sz w:val="22"/>
          <w:szCs w:val="22"/>
        </w:rPr>
        <w:t>Chillers</w:t>
      </w:r>
      <w:proofErr w:type="spellEnd"/>
      <w:r w:rsidRPr="00CC7A10">
        <w:rPr>
          <w:rFonts w:ascii="Calibri" w:hAnsi="Calibri" w:cs="Calibri"/>
          <w:b/>
          <w:bCs/>
          <w:sz w:val="22"/>
          <w:szCs w:val="22"/>
        </w:rPr>
        <w:t>):</w:t>
      </w:r>
      <w:r w:rsidRPr="00CC7A10">
        <w:rPr>
          <w:rFonts w:ascii="Calibri" w:hAnsi="Calibri" w:cs="Calibri"/>
          <w:sz w:val="22"/>
          <w:szCs w:val="22"/>
        </w:rPr>
        <w:t xml:space="preserve"> Embora apresentem alta eficiência em grandes vãos, sua implementação exigiria reformas estruturais complexas, instalação de redes de dutos e paradas prolongadas das atividades nas unidades judiciárias, tornando-os inviáveis para substituições pontuais.</w:t>
      </w:r>
    </w:p>
    <w:p w14:paraId="7F259F9C" w14:textId="77777777" w:rsidR="00606C1D" w:rsidRPr="00CC7A10" w:rsidRDefault="00606C1D" w:rsidP="00606C1D">
      <w:pPr>
        <w:pStyle w:val="NormalWeb"/>
        <w:numPr>
          <w:ilvl w:val="0"/>
          <w:numId w:val="40"/>
        </w:numPr>
        <w:spacing w:line="276" w:lineRule="auto"/>
        <w:jc w:val="both"/>
        <w:rPr>
          <w:rFonts w:ascii="Calibri" w:hAnsi="Calibri" w:cs="Calibri"/>
          <w:sz w:val="22"/>
          <w:szCs w:val="22"/>
        </w:rPr>
      </w:pPr>
      <w:r w:rsidRPr="00CC7A10">
        <w:rPr>
          <w:rFonts w:ascii="Calibri" w:hAnsi="Calibri" w:cs="Calibri"/>
          <w:b/>
          <w:bCs/>
          <w:sz w:val="22"/>
          <w:szCs w:val="22"/>
        </w:rPr>
        <w:t>Aparelhos de Janela:</w:t>
      </w:r>
      <w:r w:rsidRPr="00CC7A10">
        <w:rPr>
          <w:rFonts w:ascii="Calibri" w:hAnsi="Calibri" w:cs="Calibri"/>
          <w:sz w:val="22"/>
          <w:szCs w:val="22"/>
        </w:rPr>
        <w:t xml:space="preserve"> Foram descartados por apresentarem baixa eficiência energética, altos níveis de ruído e tecnologia obsoleta frente às metas de sustentabilidade e conforto térmico do Tribunal.</w:t>
      </w:r>
    </w:p>
    <w:p w14:paraId="16450025" w14:textId="77777777" w:rsidR="00606C1D" w:rsidRPr="00CC7A10" w:rsidRDefault="00606C1D" w:rsidP="00606C1D">
      <w:pPr>
        <w:pStyle w:val="NormalWeb"/>
        <w:numPr>
          <w:ilvl w:val="0"/>
          <w:numId w:val="40"/>
        </w:numPr>
        <w:spacing w:line="276" w:lineRule="auto"/>
        <w:jc w:val="both"/>
        <w:rPr>
          <w:rFonts w:ascii="Calibri" w:hAnsi="Calibri" w:cs="Calibri"/>
          <w:sz w:val="22"/>
          <w:szCs w:val="22"/>
        </w:rPr>
      </w:pPr>
      <w:r w:rsidRPr="00CC7A10">
        <w:rPr>
          <w:rFonts w:ascii="Calibri" w:hAnsi="Calibri" w:cs="Calibri"/>
          <w:b/>
          <w:bCs/>
          <w:sz w:val="22"/>
          <w:szCs w:val="22"/>
        </w:rPr>
        <w:t>Aparelhos tipo Split Inverter (Solução Escolhida):</w:t>
      </w:r>
      <w:r w:rsidRPr="00CC7A10">
        <w:rPr>
          <w:rFonts w:ascii="Calibri" w:hAnsi="Calibri" w:cs="Calibri"/>
          <w:sz w:val="22"/>
          <w:szCs w:val="22"/>
        </w:rPr>
        <w:t xml:space="preserve"> Esta tecnologia foi definida por permitir o aproveitamento da infraestrutura existente nas Varas do Trabalho, exigindo intervenções civis mínimas. O </w:t>
      </w:r>
      <w:proofErr w:type="gramStart"/>
      <w:r w:rsidRPr="00CC7A10">
        <w:rPr>
          <w:rFonts w:ascii="Calibri" w:hAnsi="Calibri" w:cs="Calibri"/>
          <w:b/>
          <w:bCs/>
          <w:sz w:val="22"/>
          <w:szCs w:val="22"/>
        </w:rPr>
        <w:t>sistema Inverter</w:t>
      </w:r>
      <w:proofErr w:type="gramEnd"/>
      <w:r w:rsidRPr="00CC7A10">
        <w:rPr>
          <w:rFonts w:ascii="Calibri" w:hAnsi="Calibri" w:cs="Calibri"/>
          <w:sz w:val="22"/>
          <w:szCs w:val="22"/>
        </w:rPr>
        <w:t xml:space="preserve"> modula o compressor, evitando picos de consumo, e a utilização do fluido Gás R32 garante conformidade com as mais modernas normas ambientais de baixo impacto de aquecimento global.</w:t>
      </w:r>
    </w:p>
    <w:p w14:paraId="70235BC3" w14:textId="77777777" w:rsidR="00606C1D" w:rsidRPr="00CC7A10" w:rsidRDefault="00606C1D" w:rsidP="00606C1D">
      <w:pPr>
        <w:pStyle w:val="NormalWeb"/>
        <w:spacing w:line="276" w:lineRule="auto"/>
        <w:ind w:left="284"/>
        <w:jc w:val="both"/>
        <w:rPr>
          <w:rFonts w:ascii="Calibri" w:hAnsi="Calibri" w:cs="Calibri"/>
          <w:sz w:val="22"/>
          <w:szCs w:val="22"/>
        </w:rPr>
      </w:pPr>
    </w:p>
    <w:p w14:paraId="14EA0805" w14:textId="47F13A2B" w:rsidR="004C1D82" w:rsidRPr="00CC7A10" w:rsidRDefault="004C1D82" w:rsidP="004C1D82">
      <w:pPr>
        <w:pStyle w:val="PargrafodaLista"/>
        <w:numPr>
          <w:ilvl w:val="1"/>
          <w:numId w:val="42"/>
        </w:numPr>
        <w:spacing w:line="276" w:lineRule="auto"/>
        <w:ind w:hanging="436"/>
        <w:jc w:val="both"/>
        <w:rPr>
          <w:rFonts w:ascii="Calibri" w:hAnsi="Calibri" w:cs="Calibri"/>
          <w:b/>
          <w:bCs/>
          <w:sz w:val="22"/>
          <w:szCs w:val="22"/>
        </w:rPr>
      </w:pPr>
      <w:r w:rsidRPr="00CC7A10">
        <w:rPr>
          <w:rFonts w:ascii="Calibri" w:hAnsi="Calibri" w:cs="Calibri"/>
          <w:b/>
          <w:bCs/>
          <w:sz w:val="22"/>
          <w:szCs w:val="22"/>
        </w:rPr>
        <w:t>Análise de Modelos de Negócio: Locação vs. Aquisição</w:t>
      </w:r>
    </w:p>
    <w:p w14:paraId="71426C00"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Para conferir exaurimento à prospecção de mercado exigida pelo modelo padrão, a </w:t>
      </w:r>
      <w:r w:rsidRPr="00CC7A10">
        <w:rPr>
          <w:rFonts w:ascii="Calibri" w:hAnsi="Calibri" w:cs="Calibri"/>
          <w:b/>
          <w:bCs/>
          <w:sz w:val="22"/>
          <w:szCs w:val="22"/>
        </w:rPr>
        <w:t>Coordenadoria de Manutenção</w:t>
      </w:r>
      <w:r w:rsidRPr="00CC7A10">
        <w:rPr>
          <w:rFonts w:ascii="Calibri" w:hAnsi="Calibri" w:cs="Calibri"/>
          <w:sz w:val="22"/>
          <w:szCs w:val="22"/>
        </w:rPr>
        <w:t xml:space="preserve"> realizou um levantamento amostral de dados reais junto ao </w:t>
      </w:r>
      <w:r w:rsidRPr="00CC7A10">
        <w:rPr>
          <w:rFonts w:ascii="Calibri" w:hAnsi="Calibri" w:cs="Calibri"/>
          <w:b/>
          <w:bCs/>
          <w:sz w:val="22"/>
          <w:szCs w:val="22"/>
        </w:rPr>
        <w:t>Banco de Preços</w:t>
      </w:r>
      <w:r w:rsidRPr="00CC7A10">
        <w:rPr>
          <w:rFonts w:ascii="Calibri" w:hAnsi="Calibri" w:cs="Calibri"/>
          <w:sz w:val="22"/>
          <w:szCs w:val="22"/>
        </w:rPr>
        <w:t xml:space="preserve"> (Relatório de Cotação Rápida nº 1334/2026 –</w:t>
      </w:r>
      <w:r w:rsidRPr="00CC7A10">
        <w:rPr>
          <w:rFonts w:ascii="Calibri" w:hAnsi="Calibri" w:cs="Calibri"/>
          <w:b/>
          <w:bCs/>
          <w:sz w:val="22"/>
          <w:szCs w:val="22"/>
        </w:rPr>
        <w:t xml:space="preserve"> doc. 19</w:t>
      </w:r>
      <w:r w:rsidRPr="00CC7A10">
        <w:rPr>
          <w:rFonts w:ascii="Calibri" w:hAnsi="Calibri" w:cs="Calibri"/>
          <w:sz w:val="22"/>
          <w:szCs w:val="22"/>
        </w:rPr>
        <w:t xml:space="preserve">), buscando identificar o comportamento dos valores de mercado para a locação operacional de condicionadores de ar tipo </w:t>
      </w:r>
      <w:r w:rsidRPr="00CC7A10">
        <w:rPr>
          <w:rFonts w:ascii="Calibri" w:hAnsi="Calibri" w:cs="Calibri"/>
          <w:b/>
          <w:bCs/>
          <w:sz w:val="22"/>
          <w:szCs w:val="22"/>
        </w:rPr>
        <w:t xml:space="preserve">Split de 12.000 </w:t>
      </w:r>
      <w:proofErr w:type="spellStart"/>
      <w:r w:rsidRPr="00CC7A10">
        <w:rPr>
          <w:rFonts w:ascii="Calibri" w:hAnsi="Calibri" w:cs="Calibri"/>
          <w:b/>
          <w:bCs/>
          <w:sz w:val="22"/>
          <w:szCs w:val="22"/>
        </w:rPr>
        <w:t>BTUs</w:t>
      </w:r>
      <w:proofErr w:type="spellEnd"/>
      <w:r w:rsidRPr="00CC7A10">
        <w:rPr>
          <w:rFonts w:ascii="Calibri" w:hAnsi="Calibri" w:cs="Calibri"/>
          <w:sz w:val="22"/>
          <w:szCs w:val="22"/>
        </w:rPr>
        <w:t xml:space="preserve">. </w:t>
      </w:r>
    </w:p>
    <w:p w14:paraId="1C362115"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639FD774"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Identificou-se que em contratações congêneres da Administração Pública, a exemplo do certame promovido pela </w:t>
      </w:r>
      <w:r w:rsidRPr="00CC7A10">
        <w:rPr>
          <w:rFonts w:ascii="Calibri" w:hAnsi="Calibri" w:cs="Calibri"/>
          <w:b/>
          <w:bCs/>
          <w:sz w:val="22"/>
          <w:szCs w:val="22"/>
        </w:rPr>
        <w:t>Polícia Militar da Bahia (Identificação: 33457634000127-1-000985/2025)</w:t>
      </w:r>
      <w:r w:rsidRPr="00CC7A10">
        <w:rPr>
          <w:rFonts w:ascii="Calibri" w:hAnsi="Calibri" w:cs="Calibri"/>
          <w:sz w:val="22"/>
          <w:szCs w:val="22"/>
        </w:rPr>
        <w:t xml:space="preserve">, o custo referencial homologado para a locação da referida solução atinge o montante de </w:t>
      </w:r>
      <w:r w:rsidRPr="00CC7A10">
        <w:rPr>
          <w:rFonts w:ascii="Calibri" w:hAnsi="Calibri" w:cs="Calibri"/>
          <w:b/>
          <w:bCs/>
          <w:sz w:val="22"/>
          <w:szCs w:val="22"/>
        </w:rPr>
        <w:t>R$ 1.924,00</w:t>
      </w:r>
      <w:r w:rsidRPr="00CC7A10">
        <w:rPr>
          <w:rFonts w:ascii="Calibri" w:hAnsi="Calibri" w:cs="Calibri"/>
          <w:sz w:val="22"/>
          <w:szCs w:val="22"/>
        </w:rPr>
        <w:t xml:space="preserve"> por unidade.</w:t>
      </w:r>
    </w:p>
    <w:p w14:paraId="06195928"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157E091C" w14:textId="77777777" w:rsidR="004C1D82" w:rsidRPr="00CC7A10" w:rsidRDefault="004C1D82" w:rsidP="004C1D82">
      <w:pPr>
        <w:pStyle w:val="PargrafodaLista"/>
        <w:numPr>
          <w:ilvl w:val="2"/>
          <w:numId w:val="42"/>
        </w:numPr>
        <w:tabs>
          <w:tab w:val="left" w:pos="851"/>
        </w:tabs>
        <w:spacing w:line="276" w:lineRule="auto"/>
        <w:ind w:left="426" w:hanging="142"/>
        <w:jc w:val="both"/>
        <w:rPr>
          <w:rFonts w:ascii="Calibri" w:hAnsi="Calibri" w:cs="Calibri"/>
          <w:b/>
          <w:bCs/>
          <w:sz w:val="22"/>
          <w:szCs w:val="22"/>
        </w:rPr>
      </w:pPr>
      <w:r w:rsidRPr="00CC7A10">
        <w:rPr>
          <w:rFonts w:ascii="Calibri" w:hAnsi="Calibri" w:cs="Calibri"/>
          <w:b/>
          <w:bCs/>
          <w:sz w:val="22"/>
          <w:szCs w:val="22"/>
        </w:rPr>
        <w:t>Demonstração do Ponto de Equilíbrio (</w:t>
      </w:r>
      <w:r w:rsidRPr="00CC7A10">
        <w:rPr>
          <w:rFonts w:ascii="Calibri" w:hAnsi="Calibri" w:cs="Calibri"/>
          <w:b/>
          <w:bCs/>
          <w:i/>
          <w:iCs/>
          <w:sz w:val="22"/>
          <w:szCs w:val="22"/>
        </w:rPr>
        <w:t>Break-Even Point</w:t>
      </w:r>
      <w:r w:rsidRPr="00CC7A10">
        <w:rPr>
          <w:rFonts w:ascii="Calibri" w:hAnsi="Calibri" w:cs="Calibri"/>
          <w:b/>
          <w:bCs/>
          <w:sz w:val="22"/>
          <w:szCs w:val="22"/>
        </w:rPr>
        <w:t>) e Inviabilidade Econômica:</w:t>
      </w:r>
    </w:p>
    <w:p w14:paraId="1F3025C8"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Para fins de confrontação com o modelo de aquisição definitiva, extraíram-se os parâmetros oficiais adotados nos </w:t>
      </w:r>
      <w:r w:rsidRPr="00CC7A10">
        <w:rPr>
          <w:rFonts w:ascii="Calibri" w:hAnsi="Calibri" w:cs="Calibri"/>
          <w:b/>
          <w:bCs/>
          <w:sz w:val="22"/>
          <w:szCs w:val="22"/>
        </w:rPr>
        <w:t xml:space="preserve">Anexos III (Planilha Estimativa de Custos) </w:t>
      </w:r>
      <w:r w:rsidRPr="00CC7A10">
        <w:rPr>
          <w:rFonts w:ascii="Calibri" w:hAnsi="Calibri" w:cs="Calibri"/>
          <w:sz w:val="22"/>
          <w:szCs w:val="22"/>
        </w:rPr>
        <w:t>e</w:t>
      </w:r>
      <w:r w:rsidRPr="00CC7A10">
        <w:rPr>
          <w:rFonts w:ascii="Calibri" w:hAnsi="Calibri" w:cs="Calibri"/>
          <w:b/>
          <w:bCs/>
          <w:sz w:val="22"/>
          <w:szCs w:val="22"/>
        </w:rPr>
        <w:t xml:space="preserve"> IV (Composições Unitárias)</w:t>
      </w:r>
      <w:r w:rsidRPr="00CC7A10">
        <w:rPr>
          <w:rFonts w:ascii="Calibri" w:hAnsi="Calibri" w:cs="Calibri"/>
          <w:sz w:val="22"/>
          <w:szCs w:val="22"/>
        </w:rPr>
        <w:t xml:space="preserve"> deste </w:t>
      </w:r>
      <w:r w:rsidRPr="00CC7A10">
        <w:rPr>
          <w:rFonts w:ascii="Calibri" w:hAnsi="Calibri" w:cs="Calibri"/>
          <w:b/>
          <w:bCs/>
          <w:sz w:val="22"/>
          <w:szCs w:val="22"/>
        </w:rPr>
        <w:t>Termo de Referência</w:t>
      </w:r>
      <w:r w:rsidRPr="00CC7A10">
        <w:rPr>
          <w:rFonts w:ascii="Calibri" w:hAnsi="Calibri" w:cs="Calibri"/>
          <w:sz w:val="22"/>
          <w:szCs w:val="22"/>
        </w:rPr>
        <w:t xml:space="preserve">, os quais encontram-se respaldados na tabela de referência da </w:t>
      </w:r>
      <w:r w:rsidRPr="00CC7A10">
        <w:rPr>
          <w:rFonts w:ascii="Calibri" w:hAnsi="Calibri" w:cs="Calibri"/>
          <w:b/>
          <w:bCs/>
          <w:sz w:val="22"/>
          <w:szCs w:val="22"/>
        </w:rPr>
        <w:t>SEINFRA/CE</w:t>
      </w:r>
      <w:r w:rsidRPr="00CC7A10">
        <w:rPr>
          <w:rFonts w:ascii="Calibri" w:hAnsi="Calibri" w:cs="Calibri"/>
          <w:sz w:val="22"/>
          <w:szCs w:val="22"/>
        </w:rPr>
        <w:t>:</w:t>
      </w:r>
    </w:p>
    <w:p w14:paraId="15261C63"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721BB450" w14:textId="77777777" w:rsidR="004C1D82" w:rsidRPr="00CC7A10" w:rsidRDefault="004C1D82" w:rsidP="004C1D82">
      <w:pPr>
        <w:pStyle w:val="PargrafodaLista"/>
        <w:numPr>
          <w:ilvl w:val="0"/>
          <w:numId w:val="41"/>
        </w:numPr>
        <w:spacing w:line="276" w:lineRule="auto"/>
        <w:jc w:val="both"/>
        <w:rPr>
          <w:rFonts w:ascii="Calibri" w:hAnsi="Calibri" w:cs="Calibri"/>
          <w:b/>
          <w:bCs/>
          <w:sz w:val="22"/>
          <w:szCs w:val="22"/>
        </w:rPr>
      </w:pPr>
      <w:r w:rsidRPr="00CC7A10">
        <w:rPr>
          <w:rFonts w:ascii="Calibri" w:hAnsi="Calibri" w:cs="Calibri"/>
          <w:b/>
          <w:bCs/>
          <w:sz w:val="22"/>
          <w:szCs w:val="22"/>
        </w:rPr>
        <w:t>Equipamento:</w:t>
      </w:r>
      <w:r w:rsidRPr="00CC7A10">
        <w:rPr>
          <w:rFonts w:ascii="Calibri" w:hAnsi="Calibri" w:cs="Calibri"/>
          <w:sz w:val="22"/>
          <w:szCs w:val="22"/>
        </w:rPr>
        <w:t xml:space="preserve"> Insumo I7350 – Split System Completo c/ Controle Remoto Cap. 1,00 TR - 12.000 </w:t>
      </w:r>
      <w:proofErr w:type="spellStart"/>
      <w:r w:rsidRPr="00CC7A10">
        <w:rPr>
          <w:rFonts w:ascii="Calibri" w:hAnsi="Calibri" w:cs="Calibri"/>
          <w:sz w:val="22"/>
          <w:szCs w:val="22"/>
        </w:rPr>
        <w:t>BTUs</w:t>
      </w:r>
      <w:proofErr w:type="spellEnd"/>
      <w:r w:rsidRPr="00CC7A10">
        <w:rPr>
          <w:rFonts w:ascii="Calibri" w:hAnsi="Calibri" w:cs="Calibri"/>
          <w:sz w:val="22"/>
          <w:szCs w:val="22"/>
        </w:rPr>
        <w:t xml:space="preserve">/h: </w:t>
      </w:r>
      <w:r w:rsidRPr="00CC7A10">
        <w:rPr>
          <w:rFonts w:ascii="Calibri" w:hAnsi="Calibri" w:cs="Calibri"/>
          <w:b/>
          <w:bCs/>
          <w:sz w:val="22"/>
          <w:szCs w:val="22"/>
        </w:rPr>
        <w:t>R$ 2.735,44</w:t>
      </w:r>
    </w:p>
    <w:p w14:paraId="2BE163AA" w14:textId="77777777" w:rsidR="004C1D82" w:rsidRPr="00CC7A10" w:rsidRDefault="004C1D82" w:rsidP="004C1D82">
      <w:pPr>
        <w:pStyle w:val="PargrafodaLista"/>
        <w:numPr>
          <w:ilvl w:val="0"/>
          <w:numId w:val="41"/>
        </w:numPr>
        <w:spacing w:line="276" w:lineRule="auto"/>
        <w:jc w:val="both"/>
        <w:rPr>
          <w:rFonts w:ascii="Calibri" w:hAnsi="Calibri" w:cs="Calibri"/>
          <w:sz w:val="22"/>
          <w:szCs w:val="22"/>
        </w:rPr>
      </w:pPr>
      <w:r w:rsidRPr="00CC7A10">
        <w:rPr>
          <w:rFonts w:ascii="Calibri" w:hAnsi="Calibri" w:cs="Calibri"/>
          <w:b/>
          <w:bCs/>
          <w:sz w:val="22"/>
          <w:szCs w:val="22"/>
        </w:rPr>
        <w:t>Instalação e Montagem:</w:t>
      </w:r>
      <w:r w:rsidRPr="00CC7A10">
        <w:rPr>
          <w:rFonts w:ascii="Calibri" w:hAnsi="Calibri" w:cs="Calibri"/>
          <w:sz w:val="22"/>
          <w:szCs w:val="22"/>
        </w:rPr>
        <w:t xml:space="preserve"> Composição CMP004 – Montagem Ar-Condicionado Split 12.000 </w:t>
      </w:r>
      <w:proofErr w:type="spellStart"/>
      <w:r w:rsidRPr="00CC7A10">
        <w:rPr>
          <w:rFonts w:ascii="Calibri" w:hAnsi="Calibri" w:cs="Calibri"/>
          <w:sz w:val="22"/>
          <w:szCs w:val="22"/>
        </w:rPr>
        <w:t>BTUs</w:t>
      </w:r>
      <w:proofErr w:type="spellEnd"/>
      <w:r w:rsidRPr="00CC7A10">
        <w:rPr>
          <w:rFonts w:ascii="Calibri" w:hAnsi="Calibri" w:cs="Calibri"/>
          <w:sz w:val="22"/>
          <w:szCs w:val="22"/>
        </w:rPr>
        <w:t xml:space="preserve">/h, incluso terminal, bucha, chumbador e suporte mão-francesa: </w:t>
      </w:r>
      <w:r w:rsidRPr="00CC7A10">
        <w:rPr>
          <w:rFonts w:ascii="Calibri" w:hAnsi="Calibri" w:cs="Calibri"/>
          <w:b/>
          <w:bCs/>
          <w:sz w:val="22"/>
          <w:szCs w:val="22"/>
        </w:rPr>
        <w:t>R$ 319,67</w:t>
      </w:r>
    </w:p>
    <w:p w14:paraId="00B93B51" w14:textId="77777777" w:rsidR="004C1D82" w:rsidRPr="00CC7A10" w:rsidRDefault="004C1D82" w:rsidP="004C1D82">
      <w:pPr>
        <w:pStyle w:val="PargrafodaLista"/>
        <w:numPr>
          <w:ilvl w:val="0"/>
          <w:numId w:val="41"/>
        </w:numPr>
        <w:spacing w:line="276" w:lineRule="auto"/>
        <w:jc w:val="both"/>
        <w:rPr>
          <w:rFonts w:ascii="Calibri" w:hAnsi="Calibri" w:cs="Calibri"/>
          <w:sz w:val="22"/>
          <w:szCs w:val="22"/>
        </w:rPr>
      </w:pPr>
      <w:r w:rsidRPr="00CC7A10">
        <w:rPr>
          <w:rFonts w:ascii="Calibri" w:hAnsi="Calibri" w:cs="Calibri"/>
          <w:b/>
          <w:bCs/>
          <w:sz w:val="22"/>
          <w:szCs w:val="22"/>
        </w:rPr>
        <w:t>Custo Total de Propriedade do Ativo (Aquisição + Instalação):</w:t>
      </w:r>
      <w:r w:rsidRPr="00CC7A10">
        <w:rPr>
          <w:rFonts w:ascii="Calibri" w:hAnsi="Calibri" w:cs="Calibri"/>
          <w:sz w:val="22"/>
          <w:szCs w:val="22"/>
        </w:rPr>
        <w:t xml:space="preserve"> </w:t>
      </w:r>
      <w:r w:rsidRPr="00CC7A10">
        <w:rPr>
          <w:rFonts w:ascii="Calibri" w:hAnsi="Calibri" w:cs="Calibri"/>
          <w:b/>
          <w:bCs/>
          <w:sz w:val="22"/>
          <w:szCs w:val="22"/>
        </w:rPr>
        <w:t>R$ 3.055,11</w:t>
      </w:r>
    </w:p>
    <w:p w14:paraId="786DB24E"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lastRenderedPageBreak/>
        <w:t xml:space="preserve">A modelagem matemática expõe uma desvantagem econômica fulminante no regime de aluguel: sob o prisma de uma amortização direta, bastam apenas </w:t>
      </w:r>
      <w:r w:rsidRPr="00CC7A10">
        <w:rPr>
          <w:rFonts w:ascii="Calibri" w:hAnsi="Calibri" w:cs="Calibri"/>
          <w:b/>
          <w:bCs/>
          <w:sz w:val="22"/>
          <w:szCs w:val="22"/>
        </w:rPr>
        <w:t>02 meses de encargo locatício</w:t>
      </w:r>
      <w:r w:rsidRPr="00CC7A10">
        <w:rPr>
          <w:rFonts w:ascii="Calibri" w:hAnsi="Calibri" w:cs="Calibri"/>
          <w:sz w:val="22"/>
          <w:szCs w:val="22"/>
        </w:rPr>
        <w:t xml:space="preserve"> (totalizando R$ 3.848,00) para que o dispêndio público supere o </w:t>
      </w:r>
      <w:r w:rsidRPr="00CC7A10">
        <w:rPr>
          <w:rFonts w:ascii="Calibri" w:hAnsi="Calibri" w:cs="Calibri"/>
          <w:b/>
          <w:bCs/>
          <w:sz w:val="22"/>
          <w:szCs w:val="22"/>
        </w:rPr>
        <w:t>Custo Total de Propriedade</w:t>
      </w:r>
      <w:r w:rsidRPr="00CC7A10">
        <w:rPr>
          <w:rFonts w:ascii="Calibri" w:hAnsi="Calibri" w:cs="Calibri"/>
          <w:sz w:val="22"/>
          <w:szCs w:val="22"/>
        </w:rPr>
        <w:t xml:space="preserve"> necessário para a compra e montagem definitiva do bem (R$ 3.055,11). </w:t>
      </w:r>
    </w:p>
    <w:p w14:paraId="235E5AB1"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75C9F19E"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Sabendo que os equipamentos adquiridos e devidamente incorporados ao patrimônio do Tribunal detêm uma durabilidade e vida útil operacional mínima de </w:t>
      </w:r>
      <w:r w:rsidRPr="00CC7A10">
        <w:rPr>
          <w:rFonts w:ascii="Calibri" w:hAnsi="Calibri" w:cs="Calibri"/>
          <w:b/>
          <w:bCs/>
          <w:sz w:val="22"/>
          <w:szCs w:val="22"/>
        </w:rPr>
        <w:t>05 anos (60 meses),</w:t>
      </w:r>
      <w:r w:rsidRPr="00CC7A10">
        <w:rPr>
          <w:rFonts w:ascii="Calibri" w:hAnsi="Calibri" w:cs="Calibri"/>
          <w:sz w:val="22"/>
          <w:szCs w:val="22"/>
        </w:rPr>
        <w:t xml:space="preserve"> a manutenção continuada de um pacto de locação ao longo desse horizonte temporal geraria um prejuízo crônico, desarrazoado e inaceitável ao erário.</w:t>
      </w:r>
    </w:p>
    <w:p w14:paraId="5F4738E0"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4A5DDA97" w14:textId="77777777" w:rsidR="004C1D82" w:rsidRPr="00CC7A10" w:rsidRDefault="004C1D82" w:rsidP="004C1D82">
      <w:pPr>
        <w:pStyle w:val="PargrafodaLista"/>
        <w:numPr>
          <w:ilvl w:val="2"/>
          <w:numId w:val="42"/>
        </w:numPr>
        <w:spacing w:line="276" w:lineRule="auto"/>
        <w:ind w:left="851" w:hanging="567"/>
        <w:jc w:val="both"/>
        <w:rPr>
          <w:rFonts w:ascii="Calibri" w:hAnsi="Calibri" w:cs="Calibri"/>
          <w:b/>
          <w:bCs/>
          <w:sz w:val="22"/>
          <w:szCs w:val="22"/>
        </w:rPr>
      </w:pPr>
      <w:r w:rsidRPr="00CC7A10">
        <w:rPr>
          <w:rFonts w:ascii="Calibri" w:hAnsi="Calibri" w:cs="Calibri"/>
          <w:b/>
          <w:bCs/>
          <w:sz w:val="22"/>
          <w:szCs w:val="22"/>
        </w:rPr>
        <w:t>Quantificação do Risco de Custo Afundado (</w:t>
      </w:r>
      <w:proofErr w:type="spellStart"/>
      <w:r w:rsidRPr="00CC7A10">
        <w:rPr>
          <w:rFonts w:ascii="Calibri" w:hAnsi="Calibri" w:cs="Calibri"/>
          <w:b/>
          <w:bCs/>
          <w:i/>
          <w:iCs/>
          <w:sz w:val="22"/>
          <w:szCs w:val="22"/>
        </w:rPr>
        <w:t>Sunk</w:t>
      </w:r>
      <w:proofErr w:type="spellEnd"/>
      <w:r w:rsidRPr="00CC7A10">
        <w:rPr>
          <w:rFonts w:ascii="Calibri" w:hAnsi="Calibri" w:cs="Calibri"/>
          <w:b/>
          <w:bCs/>
          <w:i/>
          <w:iCs/>
          <w:sz w:val="22"/>
          <w:szCs w:val="22"/>
        </w:rPr>
        <w:t xml:space="preserve"> </w:t>
      </w:r>
      <w:proofErr w:type="spellStart"/>
      <w:r w:rsidRPr="00CC7A10">
        <w:rPr>
          <w:rFonts w:ascii="Calibri" w:hAnsi="Calibri" w:cs="Calibri"/>
          <w:b/>
          <w:bCs/>
          <w:i/>
          <w:iCs/>
          <w:sz w:val="22"/>
          <w:szCs w:val="22"/>
        </w:rPr>
        <w:t>Cost</w:t>
      </w:r>
      <w:proofErr w:type="spellEnd"/>
      <w:r w:rsidRPr="00CC7A10">
        <w:rPr>
          <w:rFonts w:ascii="Calibri" w:hAnsi="Calibri" w:cs="Calibri"/>
          <w:b/>
          <w:bCs/>
          <w:sz w:val="22"/>
          <w:szCs w:val="22"/>
        </w:rPr>
        <w:t>):</w:t>
      </w:r>
    </w:p>
    <w:p w14:paraId="0D97BE4E"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Sob a ótica da engenharia, a instalação de condicionadores de ar tipo Split difere substancialmente de outras locações operacionais (como frotas de veículos ou microcomputadores), nas quais os bens são devolvidos ao final da avença sem impactos estruturais. Conforme discriminado na composição técnica </w:t>
      </w:r>
      <w:r w:rsidRPr="00CC7A10">
        <w:rPr>
          <w:rFonts w:ascii="Calibri" w:hAnsi="Calibri" w:cs="Calibri"/>
          <w:b/>
          <w:bCs/>
          <w:sz w:val="22"/>
          <w:szCs w:val="22"/>
        </w:rPr>
        <w:t>CMP004</w:t>
      </w:r>
      <w:r w:rsidRPr="00CC7A10">
        <w:rPr>
          <w:rFonts w:ascii="Calibri" w:hAnsi="Calibri" w:cs="Calibri"/>
          <w:sz w:val="22"/>
          <w:szCs w:val="22"/>
        </w:rPr>
        <w:t xml:space="preserve"> da </w:t>
      </w:r>
      <w:r w:rsidRPr="00CC7A10">
        <w:rPr>
          <w:rFonts w:ascii="Calibri" w:hAnsi="Calibri" w:cs="Calibri"/>
          <w:b/>
          <w:bCs/>
          <w:sz w:val="22"/>
          <w:szCs w:val="22"/>
        </w:rPr>
        <w:t>SEINFRA/CE</w:t>
      </w:r>
      <w:r w:rsidRPr="00CC7A10">
        <w:rPr>
          <w:rFonts w:ascii="Calibri" w:hAnsi="Calibri" w:cs="Calibri"/>
          <w:sz w:val="22"/>
          <w:szCs w:val="22"/>
        </w:rPr>
        <w:t xml:space="preserve">, a montagem da solução impõe intervenções físicas permanentes que se agregam e se tornam aderentes à estrutura civil das edificações do TRT7. </w:t>
      </w:r>
    </w:p>
    <w:p w14:paraId="116C7BF3"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09DBC2F1"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Tais intervenções compreendem a abertura de passagens em alvenaria, embutimento de linhas frigorígenas em tubos de cobre, isolamento térmico elastomérico, fixação de suportes externos tipo mão-francesa, além da estruturação de redes de drenagem por gravidade e circuitos elétricos dedicados.</w:t>
      </w:r>
    </w:p>
    <w:p w14:paraId="4ED24ABA"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74899DBB" w14:textId="77777777"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No modelo de locação, na hipótese de rescisão, distrato ou encerramento do contrato, toda essa infraestrutura física executada nas paredes das Varas do Trabalho seria integralmente perdida, visto que os materiais não comportam remoção para reaproveitamento sem a sua obsolescência imediata ou sem causar severas avarias à integridade civil dos imóveis. Trata-se, portanto, da consolidação de um </w:t>
      </w:r>
      <w:r w:rsidRPr="00CC7A10">
        <w:rPr>
          <w:rFonts w:ascii="Calibri" w:hAnsi="Calibri" w:cs="Calibri"/>
          <w:b/>
          <w:bCs/>
          <w:sz w:val="22"/>
          <w:szCs w:val="22"/>
        </w:rPr>
        <w:t>custo afundado</w:t>
      </w:r>
      <w:r w:rsidRPr="00CC7A10">
        <w:rPr>
          <w:rFonts w:ascii="Calibri" w:hAnsi="Calibri" w:cs="Calibri"/>
          <w:sz w:val="22"/>
          <w:szCs w:val="22"/>
        </w:rPr>
        <w:t xml:space="preserve"> (</w:t>
      </w:r>
      <w:proofErr w:type="spellStart"/>
      <w:r w:rsidRPr="00CC7A10">
        <w:rPr>
          <w:rFonts w:ascii="Calibri" w:hAnsi="Calibri" w:cs="Calibri"/>
          <w:i/>
          <w:iCs/>
          <w:sz w:val="22"/>
          <w:szCs w:val="22"/>
        </w:rPr>
        <w:t>sunk</w:t>
      </w:r>
      <w:proofErr w:type="spellEnd"/>
      <w:r w:rsidRPr="00CC7A10">
        <w:rPr>
          <w:rFonts w:ascii="Calibri" w:hAnsi="Calibri" w:cs="Calibri"/>
          <w:i/>
          <w:iCs/>
          <w:sz w:val="22"/>
          <w:szCs w:val="22"/>
        </w:rPr>
        <w:t xml:space="preserve"> </w:t>
      </w:r>
      <w:proofErr w:type="spellStart"/>
      <w:r w:rsidRPr="00CC7A10">
        <w:rPr>
          <w:rFonts w:ascii="Calibri" w:hAnsi="Calibri" w:cs="Calibri"/>
          <w:i/>
          <w:iCs/>
          <w:sz w:val="22"/>
          <w:szCs w:val="22"/>
        </w:rPr>
        <w:t>cost</w:t>
      </w:r>
      <w:proofErr w:type="spellEnd"/>
      <w:r w:rsidRPr="00CC7A10">
        <w:rPr>
          <w:rFonts w:ascii="Calibri" w:hAnsi="Calibri" w:cs="Calibri"/>
          <w:sz w:val="22"/>
          <w:szCs w:val="22"/>
        </w:rPr>
        <w:t xml:space="preserve">) irrecuperável. </w:t>
      </w:r>
    </w:p>
    <w:p w14:paraId="5E74F8CE"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4879EA00" w14:textId="510D1244" w:rsidR="004C1D82" w:rsidRPr="00CC7A10" w:rsidRDefault="004C1D82" w:rsidP="004C1D82">
      <w:pPr>
        <w:pStyle w:val="PargrafodaLista"/>
        <w:spacing w:line="276" w:lineRule="auto"/>
        <w:ind w:left="284"/>
        <w:jc w:val="both"/>
        <w:rPr>
          <w:rFonts w:ascii="Calibri" w:hAnsi="Calibri" w:cs="Calibri"/>
          <w:sz w:val="22"/>
          <w:szCs w:val="22"/>
        </w:rPr>
      </w:pPr>
      <w:r w:rsidRPr="00CC7A10">
        <w:rPr>
          <w:rFonts w:ascii="Calibri" w:hAnsi="Calibri" w:cs="Calibri"/>
          <w:sz w:val="22"/>
          <w:szCs w:val="22"/>
        </w:rPr>
        <w:t xml:space="preserve">Em contrapartida, ao optar pela aquisição com instalação integrada, o investimento em engenharia é capitalizado pelo Tribunal, incorporando-se como </w:t>
      </w:r>
      <w:r w:rsidRPr="00CC7A10">
        <w:rPr>
          <w:rFonts w:ascii="Calibri" w:hAnsi="Calibri" w:cs="Calibri"/>
          <w:b/>
          <w:bCs/>
          <w:sz w:val="22"/>
          <w:szCs w:val="22"/>
        </w:rPr>
        <w:t>benfeitoria permanente ao patrimônio da União</w:t>
      </w:r>
      <w:r w:rsidRPr="00CC7A10">
        <w:rPr>
          <w:rFonts w:ascii="Calibri" w:hAnsi="Calibri" w:cs="Calibri"/>
          <w:sz w:val="22"/>
          <w:szCs w:val="22"/>
        </w:rPr>
        <w:t xml:space="preserve"> e permitindo que ciclos futuros de substituição tecnológica aproveitem a mesma infraestrutura já consolidada e inteiramente paga.</w:t>
      </w:r>
    </w:p>
    <w:p w14:paraId="0812E2D0" w14:textId="77777777" w:rsidR="004C1D82" w:rsidRPr="00CC7A10" w:rsidRDefault="004C1D82" w:rsidP="004C1D82">
      <w:pPr>
        <w:pStyle w:val="PargrafodaLista"/>
        <w:spacing w:line="276" w:lineRule="auto"/>
        <w:ind w:left="284"/>
        <w:jc w:val="both"/>
        <w:rPr>
          <w:rFonts w:ascii="Calibri" w:hAnsi="Calibri" w:cs="Calibri"/>
          <w:sz w:val="22"/>
          <w:szCs w:val="22"/>
        </w:rPr>
      </w:pPr>
    </w:p>
    <w:p w14:paraId="5793ECC0" w14:textId="152B13B1" w:rsidR="004C1D82" w:rsidRPr="003A1828" w:rsidRDefault="003A1828" w:rsidP="004C1D82">
      <w:pPr>
        <w:pStyle w:val="PargrafodaLista"/>
        <w:numPr>
          <w:ilvl w:val="2"/>
          <w:numId w:val="42"/>
        </w:numPr>
        <w:tabs>
          <w:tab w:val="left" w:pos="851"/>
        </w:tabs>
        <w:spacing w:line="276" w:lineRule="auto"/>
        <w:ind w:left="709" w:hanging="425"/>
        <w:jc w:val="both"/>
        <w:rPr>
          <w:rFonts w:ascii="Calibri" w:hAnsi="Calibri" w:cs="Calibri"/>
          <w:b/>
          <w:bCs/>
          <w:color w:val="EE0000"/>
          <w:sz w:val="22"/>
          <w:szCs w:val="22"/>
        </w:rPr>
      </w:pPr>
      <w:r w:rsidRPr="003A1828">
        <w:rPr>
          <w:rFonts w:ascii="Calibri" w:hAnsi="Calibri" w:cs="Calibri"/>
          <w:b/>
          <w:bCs/>
          <w:color w:val="EE0000"/>
          <w:sz w:val="22"/>
          <w:szCs w:val="22"/>
        </w:rPr>
        <w:t>Conclusão quanto aos Balizadores Oficiais de Custos e à Pesquisa de Mercado</w:t>
      </w:r>
      <w:r w:rsidR="004C1D82" w:rsidRPr="003A1828">
        <w:rPr>
          <w:rFonts w:ascii="Calibri" w:hAnsi="Calibri" w:cs="Calibri"/>
          <w:b/>
          <w:bCs/>
          <w:color w:val="EE0000"/>
          <w:sz w:val="22"/>
          <w:szCs w:val="22"/>
        </w:rPr>
        <w:t>:</w:t>
      </w:r>
    </w:p>
    <w:p w14:paraId="4698B2FA" w14:textId="77777777" w:rsidR="003A1828" w:rsidRPr="003A1828" w:rsidRDefault="003A1828" w:rsidP="003A1828">
      <w:pPr>
        <w:pStyle w:val="NormalWeb"/>
        <w:spacing w:line="276" w:lineRule="auto"/>
        <w:ind w:left="284"/>
        <w:jc w:val="both"/>
        <w:rPr>
          <w:rFonts w:ascii="Calibri" w:hAnsi="Calibri" w:cs="Calibri"/>
          <w:color w:val="EE0000"/>
          <w:sz w:val="22"/>
          <w:szCs w:val="22"/>
        </w:rPr>
      </w:pPr>
      <w:r w:rsidRPr="003A1828">
        <w:rPr>
          <w:rFonts w:ascii="Calibri" w:hAnsi="Calibri" w:cs="Calibri"/>
          <w:color w:val="EE0000"/>
          <w:sz w:val="22"/>
          <w:szCs w:val="22"/>
        </w:rPr>
        <w:t xml:space="preserve">Ressalta-se, por imperativo legal, que para os serviços de engenharia descritos na composição orçamentária deste Termo de Referência não se aplica a Instrução Normativa SEGES/ME nº 65/2021, cuja eficácia regulamentar é adstrita à aquisição de bens e serviços comuns. A metodologia de precificação e estimativa de custos adotada pelo Tribunal cumpre rigorosamente as balizas fixadas pelas normas gerais da Lei nº 14.133/2021, utilizando </w:t>
      </w:r>
      <w:r w:rsidRPr="003A1828">
        <w:rPr>
          <w:rFonts w:ascii="Calibri" w:hAnsi="Calibri" w:cs="Calibri"/>
          <w:color w:val="EE0000"/>
          <w:sz w:val="22"/>
          <w:szCs w:val="22"/>
        </w:rPr>
        <w:lastRenderedPageBreak/>
        <w:t>sistemas de referência oficiais e consolidados (</w:t>
      </w:r>
      <w:r w:rsidRPr="003A1828">
        <w:rPr>
          <w:rFonts w:ascii="Calibri" w:hAnsi="Calibri" w:cs="Calibri"/>
          <w:b/>
          <w:bCs/>
          <w:color w:val="EE0000"/>
          <w:sz w:val="22"/>
          <w:szCs w:val="22"/>
        </w:rPr>
        <w:t>SINAPI, SEINFRA e ORSE</w:t>
      </w:r>
      <w:r w:rsidRPr="003A1828">
        <w:rPr>
          <w:rFonts w:ascii="Calibri" w:hAnsi="Calibri" w:cs="Calibri"/>
          <w:color w:val="EE0000"/>
          <w:sz w:val="22"/>
          <w:szCs w:val="22"/>
        </w:rPr>
        <w:t>) para a composição dos serviços e insumos de engenharia.</w:t>
      </w:r>
    </w:p>
    <w:p w14:paraId="69E8EA98" w14:textId="29B7A3FE" w:rsidR="003A1828" w:rsidRPr="003A1828" w:rsidRDefault="003A1828" w:rsidP="003A1828">
      <w:pPr>
        <w:pStyle w:val="NormalWeb"/>
        <w:spacing w:line="276" w:lineRule="auto"/>
        <w:ind w:left="284"/>
        <w:jc w:val="both"/>
        <w:rPr>
          <w:rFonts w:ascii="Calibri" w:hAnsi="Calibri" w:cs="Calibri"/>
          <w:color w:val="EE0000"/>
          <w:sz w:val="22"/>
          <w:szCs w:val="22"/>
        </w:rPr>
      </w:pPr>
      <w:r w:rsidRPr="003A1828">
        <w:rPr>
          <w:rFonts w:ascii="Calibri" w:hAnsi="Calibri" w:cs="Calibri"/>
          <w:color w:val="EE0000"/>
          <w:sz w:val="22"/>
          <w:szCs w:val="22"/>
        </w:rPr>
        <w:t xml:space="preserve">Por outro lado, para os equipamentos específicos cujos custos unitários exatos não se encontram integralmente albergados pelas tabelas compulsórias de engenharia adotadas, notadamente os insumos de fornecimento de equipamentos correspondentes aos itens </w:t>
      </w:r>
      <w:r w:rsidRPr="003A1828">
        <w:rPr>
          <w:rFonts w:ascii="Calibri" w:hAnsi="Calibri" w:cs="Calibri"/>
          <w:b/>
          <w:bCs/>
          <w:color w:val="EE0000"/>
          <w:sz w:val="22"/>
          <w:szCs w:val="22"/>
        </w:rPr>
        <w:t>INS001 (Cortina de Ar de 90cm), INS002 (Cortina de Ar de 150cm) e INS003 (Cortina de Ar de 200cm)</w:t>
      </w:r>
      <w:r w:rsidRPr="003A1828">
        <w:rPr>
          <w:rFonts w:ascii="Calibri" w:hAnsi="Calibri" w:cs="Calibri"/>
          <w:color w:val="EE0000"/>
          <w:sz w:val="22"/>
          <w:szCs w:val="22"/>
        </w:rPr>
        <w:t xml:space="preserve">, recorreu-se complementarmente à pesquisa direta com fornecedores, em estrita obediência ao disposto no art. 23, § 1º, inciso IV, da Lei nº 14.133/2021. Para cada um dos referidos itens, foram obtidas </w:t>
      </w:r>
      <w:r w:rsidRPr="003A1828">
        <w:rPr>
          <w:rFonts w:ascii="Calibri" w:hAnsi="Calibri" w:cs="Calibri"/>
          <w:b/>
          <w:bCs/>
          <w:color w:val="EE0000"/>
          <w:sz w:val="22"/>
          <w:szCs w:val="22"/>
        </w:rPr>
        <w:t>03 (três) cotações formais</w:t>
      </w:r>
      <w:r w:rsidRPr="003A1828">
        <w:rPr>
          <w:rFonts w:ascii="Calibri" w:hAnsi="Calibri" w:cs="Calibri"/>
          <w:color w:val="EE0000"/>
          <w:sz w:val="22"/>
          <w:szCs w:val="22"/>
        </w:rPr>
        <w:t xml:space="preserve"> (</w:t>
      </w:r>
      <w:r w:rsidRPr="00B94EAF">
        <w:rPr>
          <w:rFonts w:ascii="Calibri" w:hAnsi="Calibri" w:cs="Calibri"/>
          <w:b/>
          <w:bCs/>
          <w:color w:val="EE0000"/>
          <w:sz w:val="22"/>
          <w:szCs w:val="22"/>
        </w:rPr>
        <w:t xml:space="preserve">doc. </w:t>
      </w:r>
      <w:r w:rsidR="00B94EAF" w:rsidRPr="00B94EAF">
        <w:rPr>
          <w:rFonts w:ascii="Calibri" w:hAnsi="Calibri" w:cs="Calibri"/>
          <w:b/>
          <w:bCs/>
          <w:color w:val="EE0000"/>
          <w:sz w:val="22"/>
          <w:szCs w:val="22"/>
        </w:rPr>
        <w:t>38</w:t>
      </w:r>
      <w:r w:rsidRPr="003A1828">
        <w:rPr>
          <w:rFonts w:ascii="Calibri" w:hAnsi="Calibri" w:cs="Calibri"/>
          <w:color w:val="EE0000"/>
          <w:sz w:val="22"/>
          <w:szCs w:val="22"/>
        </w:rPr>
        <w:t xml:space="preserve">) e válidas junto a empresas atuantes no mercado regular, aplicando-se a metodologia matemática da </w:t>
      </w:r>
      <w:r w:rsidRPr="003A1828">
        <w:rPr>
          <w:rFonts w:ascii="Calibri" w:hAnsi="Calibri" w:cs="Calibri"/>
          <w:b/>
          <w:bCs/>
          <w:color w:val="EE0000"/>
          <w:sz w:val="22"/>
          <w:szCs w:val="22"/>
        </w:rPr>
        <w:t xml:space="preserve">mediana </w:t>
      </w:r>
      <w:r w:rsidRPr="003A1828">
        <w:rPr>
          <w:rFonts w:ascii="Calibri" w:hAnsi="Calibri" w:cs="Calibri"/>
          <w:color w:val="EE0000"/>
          <w:sz w:val="22"/>
          <w:szCs w:val="22"/>
        </w:rPr>
        <w:t>para a definição do valor estimado de referência de cada ativo, conforme expressamente autorizado pela legislação, garantindo que eventuais distorções ou valores discrepantes de mercado (outliers) não inflacionem o custo estimado da contratação e assegurando a fidedignidade com os preços reais praticados.</w:t>
      </w:r>
    </w:p>
    <w:p w14:paraId="2B5FEA2E" w14:textId="74BEBA27" w:rsidR="00503308" w:rsidRPr="003A1828" w:rsidRDefault="003A1828" w:rsidP="003A1828">
      <w:pPr>
        <w:pStyle w:val="NormalWeb"/>
        <w:spacing w:before="0" w:after="0" w:line="276" w:lineRule="auto"/>
        <w:ind w:left="284"/>
        <w:jc w:val="both"/>
        <w:rPr>
          <w:rFonts w:ascii="Calibri" w:hAnsi="Calibri" w:cs="Calibri"/>
          <w:color w:val="EE0000"/>
          <w:sz w:val="22"/>
          <w:szCs w:val="22"/>
        </w:rPr>
      </w:pPr>
      <w:r w:rsidRPr="003A1828">
        <w:rPr>
          <w:rFonts w:ascii="Calibri" w:hAnsi="Calibri" w:cs="Calibri"/>
          <w:color w:val="EE0000"/>
          <w:sz w:val="22"/>
          <w:szCs w:val="22"/>
        </w:rPr>
        <w:t>Resta cabalmente demonstrado, portanto, que a prospecção de mercado, o levantamento orçamentário misto (balizadores oficiais combinados com cotações diretas) e a rejeição fundamentada ao modelo de locação operacional ocorreram em momento prévio e autônomo, amparadas em critérios de eficiência, engenharia e lógica econômica de longo prazo. Os balizadores públicos e as pesquisas de mercado foram invocados em etapa subsequente e estritamente como ferramentas de conformidade orçamentária, assegurando que o fornecimento dos aparelhos e a execução das respectivas obras de montagem ocorram sob o manto da estrita economicidade e da máxima vantajosidade para a Administração.</w:t>
      </w:r>
    </w:p>
    <w:p w14:paraId="788EF8DD" w14:textId="77777777" w:rsidR="003A1828" w:rsidRPr="00CC7A10" w:rsidRDefault="003A1828" w:rsidP="003A1828">
      <w:pPr>
        <w:pStyle w:val="NormalWeb"/>
        <w:spacing w:before="0" w:after="0" w:line="276" w:lineRule="auto"/>
        <w:ind w:left="284"/>
        <w:jc w:val="both"/>
        <w:rPr>
          <w:rFonts w:ascii="Calibri" w:hAnsi="Calibri" w:cs="Calibri"/>
          <w:b/>
          <w:bCs/>
          <w:sz w:val="22"/>
          <w:szCs w:val="22"/>
        </w:rPr>
      </w:pPr>
    </w:p>
    <w:p w14:paraId="3CEEE944" w14:textId="2D97EB32" w:rsidR="007A4414" w:rsidRPr="008D2646" w:rsidRDefault="00B31201" w:rsidP="004C1D82">
      <w:pPr>
        <w:pStyle w:val="NormalWeb"/>
        <w:numPr>
          <w:ilvl w:val="0"/>
          <w:numId w:val="42"/>
        </w:numPr>
        <w:tabs>
          <w:tab w:val="left" w:pos="284"/>
        </w:tabs>
        <w:spacing w:before="0" w:after="0" w:line="276" w:lineRule="auto"/>
        <w:ind w:left="284" w:hanging="284"/>
        <w:jc w:val="both"/>
        <w:rPr>
          <w:rFonts w:ascii="Calibri" w:hAnsi="Calibri" w:cs="Calibri"/>
          <w:sz w:val="22"/>
          <w:szCs w:val="22"/>
        </w:rPr>
      </w:pPr>
      <w:r w:rsidRPr="005E4125">
        <w:rPr>
          <w:rFonts w:ascii="Calibri" w:hAnsi="Calibri" w:cs="Calibri"/>
          <w:b/>
          <w:bCs/>
          <w:sz w:val="22"/>
          <w:szCs w:val="22"/>
        </w:rPr>
        <w:t xml:space="preserve">DESCRIÇÃO DA SOLUÇÃO COMO UM TODO, CONSIDERADO TODO O CICLO DE VIDA DO OBJETO: </w:t>
      </w:r>
    </w:p>
    <w:p w14:paraId="2A6CA194"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bookmarkStart w:id="2" w:name="_Hlk228862021"/>
      <w:r w:rsidRPr="00ED35F4">
        <w:rPr>
          <w:rFonts w:ascii="Calibri" w:hAnsi="Calibri" w:cs="Calibri"/>
          <w:color w:val="1F1F1F"/>
          <w:sz w:val="22"/>
          <w:szCs w:val="22"/>
          <w:lang w:eastAsia="pt-BR"/>
        </w:rPr>
        <w:t>A solução consiste em uma intervenção técnica de ciclo completo, orientada pela gestão por resultados e pela eficiência na manutenção dos ativos, estruturada nas seguintes etapas e responsabilidades:</w:t>
      </w:r>
    </w:p>
    <w:p w14:paraId="247F7A91"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498DD14F" w14:textId="77777777" w:rsidR="00ED35F4" w:rsidRPr="00ED35F4" w:rsidRDefault="00ED35F4" w:rsidP="00ED35F4">
      <w:pPr>
        <w:suppressAutoHyphens w:val="0"/>
        <w:autoSpaceDN/>
        <w:spacing w:line="276" w:lineRule="auto"/>
        <w:ind w:left="284"/>
        <w:jc w:val="both"/>
        <w:textAlignment w:val="auto"/>
        <w:rPr>
          <w:rFonts w:ascii="Calibri" w:hAnsi="Calibri" w:cs="Calibri"/>
          <w:b/>
          <w:bCs/>
          <w:color w:val="1F1F1F"/>
          <w:sz w:val="22"/>
          <w:szCs w:val="22"/>
          <w:lang w:eastAsia="pt-BR"/>
        </w:rPr>
      </w:pPr>
      <w:r w:rsidRPr="00ED35F4">
        <w:rPr>
          <w:rFonts w:ascii="Calibri" w:hAnsi="Calibri" w:cs="Calibri"/>
          <w:b/>
          <w:bCs/>
          <w:color w:val="1F1F1F"/>
          <w:sz w:val="22"/>
          <w:szCs w:val="22"/>
          <w:lang w:eastAsia="pt-BR"/>
        </w:rPr>
        <w:t>5.1. Diagnóstico, Responsabilidade Técnica e Mobilização</w:t>
      </w:r>
    </w:p>
    <w:p w14:paraId="60A3AC39" w14:textId="54016A6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r w:rsidRPr="00ED35F4">
        <w:rPr>
          <w:rFonts w:ascii="Calibri" w:hAnsi="Calibri" w:cs="Calibri"/>
          <w:color w:val="1F1F1F"/>
          <w:sz w:val="22"/>
          <w:szCs w:val="22"/>
          <w:lang w:eastAsia="pt-BR"/>
        </w:rPr>
        <w:t xml:space="preserve">O ciclo inicia-se com a avaliação técnica das unidades obsoletas para o dimensionamento preciso da carga térmica e a verificação da infraestrutura existente. Esta etapa é consolidada pela emissão das </w:t>
      </w:r>
      <w:r w:rsidRPr="00ED35F4">
        <w:rPr>
          <w:rFonts w:ascii="Calibri" w:hAnsi="Calibri" w:cs="Calibri"/>
          <w:b/>
          <w:bCs/>
          <w:color w:val="1F1F1F"/>
          <w:sz w:val="22"/>
          <w:szCs w:val="22"/>
          <w:lang w:eastAsia="pt-BR"/>
        </w:rPr>
        <w:t xml:space="preserve">Anotações de Responsabilidade Técnica (ART) </w:t>
      </w:r>
      <w:r w:rsidR="00116B28" w:rsidRPr="00116B28">
        <w:rPr>
          <w:rFonts w:ascii="Calibri" w:hAnsi="Calibri" w:cs="Calibri"/>
          <w:color w:val="1F1F1F"/>
          <w:sz w:val="22"/>
          <w:szCs w:val="22"/>
          <w:lang w:eastAsia="pt-BR"/>
        </w:rPr>
        <w:t>e/</w:t>
      </w:r>
      <w:r w:rsidRPr="008573B7">
        <w:rPr>
          <w:rFonts w:ascii="Calibri" w:hAnsi="Calibri" w:cs="Calibri"/>
          <w:color w:val="1F1F1F"/>
          <w:sz w:val="22"/>
          <w:szCs w:val="22"/>
          <w:lang w:eastAsia="pt-BR"/>
        </w:rPr>
        <w:t>ou</w:t>
      </w:r>
      <w:r w:rsidRPr="00ED35F4">
        <w:rPr>
          <w:rFonts w:ascii="Calibri" w:hAnsi="Calibri" w:cs="Calibri"/>
          <w:b/>
          <w:bCs/>
          <w:color w:val="1F1F1F"/>
          <w:sz w:val="22"/>
          <w:szCs w:val="22"/>
          <w:lang w:eastAsia="pt-BR"/>
        </w:rPr>
        <w:t xml:space="preserve"> Registros de Responsabilidade Técnica (RRT)</w:t>
      </w:r>
      <w:r w:rsidR="00116B28">
        <w:rPr>
          <w:rFonts w:ascii="Calibri" w:hAnsi="Calibri" w:cs="Calibri"/>
          <w:b/>
          <w:bCs/>
          <w:color w:val="1F1F1F"/>
          <w:sz w:val="22"/>
          <w:szCs w:val="22"/>
          <w:lang w:eastAsia="pt-BR"/>
        </w:rPr>
        <w:t xml:space="preserve"> </w:t>
      </w:r>
      <w:r w:rsidR="00116B28" w:rsidRPr="00116B28">
        <w:rPr>
          <w:rFonts w:ascii="Calibri" w:hAnsi="Calibri" w:cs="Calibri"/>
          <w:color w:val="1F1F1F"/>
          <w:sz w:val="22"/>
          <w:szCs w:val="22"/>
          <w:lang w:eastAsia="pt-BR"/>
        </w:rPr>
        <w:t>e/ou</w:t>
      </w:r>
      <w:r w:rsidR="00116B28">
        <w:rPr>
          <w:rFonts w:ascii="Calibri" w:hAnsi="Calibri" w:cs="Calibri"/>
          <w:b/>
          <w:bCs/>
          <w:color w:val="1F1F1F"/>
          <w:sz w:val="22"/>
          <w:szCs w:val="22"/>
          <w:lang w:eastAsia="pt-BR"/>
        </w:rPr>
        <w:t xml:space="preserve"> Termo de Responsabilidade Técnica (TRT)</w:t>
      </w:r>
      <w:r w:rsidRPr="00ED35F4">
        <w:rPr>
          <w:rFonts w:ascii="Calibri" w:hAnsi="Calibri" w:cs="Calibri"/>
          <w:b/>
          <w:bCs/>
          <w:color w:val="1F1F1F"/>
          <w:sz w:val="22"/>
          <w:szCs w:val="22"/>
          <w:lang w:eastAsia="pt-BR"/>
        </w:rPr>
        <w:t>,</w:t>
      </w:r>
      <w:r w:rsidRPr="00ED35F4">
        <w:rPr>
          <w:rFonts w:ascii="Calibri" w:hAnsi="Calibri" w:cs="Calibri"/>
          <w:color w:val="1F1F1F"/>
          <w:sz w:val="22"/>
          <w:szCs w:val="22"/>
          <w:lang w:eastAsia="pt-BR"/>
        </w:rPr>
        <w:t xml:space="preserve"> assegurando que o fornecimento e a instalação ocorram sob a supervisão de profissional habilitado, garantindo a segurança estrutural e elétrica das edificações.</w:t>
      </w:r>
    </w:p>
    <w:p w14:paraId="0212EF76" w14:textId="77777777" w:rsid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6D2CF485" w14:textId="77777777" w:rsidR="00741F4B" w:rsidRDefault="00741F4B"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4C9038DC" w14:textId="77777777" w:rsidR="00741F4B" w:rsidRPr="00ED35F4" w:rsidRDefault="00741F4B"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2B7932CC" w14:textId="77777777" w:rsidR="00ED35F4" w:rsidRPr="00E153C6" w:rsidRDefault="00ED35F4" w:rsidP="00ED35F4">
      <w:pPr>
        <w:suppressAutoHyphens w:val="0"/>
        <w:autoSpaceDN/>
        <w:spacing w:line="276" w:lineRule="auto"/>
        <w:ind w:left="284"/>
        <w:jc w:val="both"/>
        <w:textAlignment w:val="auto"/>
        <w:rPr>
          <w:rFonts w:ascii="Calibri" w:hAnsi="Calibri" w:cs="Calibri"/>
          <w:b/>
          <w:bCs/>
          <w:color w:val="1F1F1F"/>
          <w:sz w:val="22"/>
          <w:szCs w:val="22"/>
          <w:lang w:eastAsia="pt-BR"/>
        </w:rPr>
      </w:pPr>
      <w:r w:rsidRPr="00E153C6">
        <w:rPr>
          <w:rFonts w:ascii="Calibri" w:hAnsi="Calibri" w:cs="Calibri"/>
          <w:b/>
          <w:bCs/>
          <w:color w:val="1F1F1F"/>
          <w:sz w:val="22"/>
          <w:szCs w:val="22"/>
          <w:lang w:eastAsia="pt-BR"/>
        </w:rPr>
        <w:lastRenderedPageBreak/>
        <w:t>5.2. Execução Técnica e Implementação da Infraestrutura</w:t>
      </w:r>
    </w:p>
    <w:p w14:paraId="639E870A"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r w:rsidRPr="00ED35F4">
        <w:rPr>
          <w:rFonts w:ascii="Calibri" w:hAnsi="Calibri" w:cs="Calibri"/>
          <w:color w:val="1F1F1F"/>
          <w:sz w:val="22"/>
          <w:szCs w:val="22"/>
          <w:lang w:eastAsia="pt-BR"/>
        </w:rPr>
        <w:t xml:space="preserve">A fase executiva abrange o fornecimento de equipamentos com </w:t>
      </w:r>
      <w:proofErr w:type="gramStart"/>
      <w:r w:rsidRPr="00ED35F4">
        <w:rPr>
          <w:rFonts w:ascii="Calibri" w:hAnsi="Calibri" w:cs="Calibri"/>
          <w:color w:val="1F1F1F"/>
          <w:sz w:val="22"/>
          <w:szCs w:val="22"/>
          <w:lang w:eastAsia="pt-BR"/>
        </w:rPr>
        <w:t>tecnologia Inverter</w:t>
      </w:r>
      <w:proofErr w:type="gramEnd"/>
      <w:r w:rsidRPr="00ED35F4">
        <w:rPr>
          <w:rFonts w:ascii="Calibri" w:hAnsi="Calibri" w:cs="Calibri"/>
          <w:color w:val="1F1F1F"/>
          <w:sz w:val="22"/>
          <w:szCs w:val="22"/>
          <w:lang w:eastAsia="pt-BR"/>
        </w:rPr>
        <w:t xml:space="preserve"> e a realização dos serviços de engenharia necessários para a plena operacionalização do sistema, incluindo:</w:t>
      </w:r>
    </w:p>
    <w:p w14:paraId="53AF6DB0"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0C0FD7BA" w14:textId="77777777" w:rsidR="00ED35F4" w:rsidRPr="00B81E38" w:rsidRDefault="00ED35F4" w:rsidP="00B81E38">
      <w:pPr>
        <w:pStyle w:val="PargrafodaLista"/>
        <w:numPr>
          <w:ilvl w:val="0"/>
          <w:numId w:val="35"/>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Instalação de Infraestrutura</w:t>
      </w:r>
      <w:r w:rsidRPr="00B81E38">
        <w:rPr>
          <w:rFonts w:ascii="Calibri" w:hAnsi="Calibri" w:cs="Calibri"/>
          <w:color w:val="1F1F1F"/>
          <w:sz w:val="22"/>
          <w:szCs w:val="22"/>
        </w:rPr>
        <w:t>: Montagem de redes frigorígenas em tubulação de cobre isolada, sistemas de drenagem e interligações elétricas.</w:t>
      </w:r>
    </w:p>
    <w:p w14:paraId="107E42E8" w14:textId="77777777" w:rsidR="00ED35F4" w:rsidRPr="00B81E38" w:rsidRDefault="00ED35F4" w:rsidP="00B81E38">
      <w:pPr>
        <w:pStyle w:val="PargrafodaLista"/>
        <w:numPr>
          <w:ilvl w:val="0"/>
          <w:numId w:val="35"/>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Serviços de Engenharia Civil</w:t>
      </w:r>
      <w:r w:rsidRPr="00B81E38">
        <w:rPr>
          <w:rFonts w:ascii="Calibri" w:hAnsi="Calibri" w:cs="Calibri"/>
          <w:color w:val="1F1F1F"/>
          <w:sz w:val="22"/>
          <w:szCs w:val="22"/>
        </w:rPr>
        <w:t>: Execução de furações e recomposições de alvenaria para passagem das linhas, conforme índices oficiais de referência (SINAPI/SEINFRA).</w:t>
      </w:r>
    </w:p>
    <w:p w14:paraId="70E4FA84" w14:textId="77777777" w:rsidR="00ED35F4" w:rsidRDefault="00ED35F4" w:rsidP="00B81E38">
      <w:pPr>
        <w:pStyle w:val="PargrafodaLista"/>
        <w:numPr>
          <w:ilvl w:val="0"/>
          <w:numId w:val="35"/>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Comissionamento:</w:t>
      </w:r>
      <w:r w:rsidRPr="00B81E38">
        <w:rPr>
          <w:rFonts w:ascii="Calibri" w:hAnsi="Calibri" w:cs="Calibri"/>
          <w:color w:val="1F1F1F"/>
          <w:sz w:val="22"/>
          <w:szCs w:val="22"/>
        </w:rPr>
        <w:t xml:space="preserve"> Realização de testes de estanqueidade, vácuo e carga de fluido refrigerante para garantir o desempenho energético e a vida útil dos equipamentos.</w:t>
      </w:r>
    </w:p>
    <w:p w14:paraId="389C781B" w14:textId="77777777" w:rsidR="008573B7" w:rsidRPr="008573B7" w:rsidRDefault="008573B7" w:rsidP="008573B7">
      <w:pPr>
        <w:pStyle w:val="PargrafodaLista"/>
        <w:rPr>
          <w:rFonts w:ascii="Calibri" w:hAnsi="Calibri" w:cs="Calibri"/>
          <w:color w:val="1F1F1F"/>
          <w:sz w:val="22"/>
          <w:szCs w:val="22"/>
        </w:rPr>
      </w:pPr>
    </w:p>
    <w:p w14:paraId="055CD7E1" w14:textId="77777777" w:rsidR="00ED35F4" w:rsidRDefault="00ED35F4" w:rsidP="00ED35F4">
      <w:pPr>
        <w:suppressAutoHyphens w:val="0"/>
        <w:autoSpaceDN/>
        <w:spacing w:line="276" w:lineRule="auto"/>
        <w:ind w:left="284"/>
        <w:jc w:val="both"/>
        <w:textAlignment w:val="auto"/>
        <w:rPr>
          <w:rFonts w:ascii="Calibri" w:hAnsi="Calibri" w:cs="Calibri"/>
          <w:b/>
          <w:bCs/>
          <w:color w:val="1F1F1F"/>
          <w:sz w:val="22"/>
          <w:szCs w:val="22"/>
          <w:lang w:eastAsia="pt-BR"/>
        </w:rPr>
      </w:pPr>
      <w:r w:rsidRPr="00B81E38">
        <w:rPr>
          <w:rFonts w:ascii="Calibri" w:hAnsi="Calibri" w:cs="Calibri"/>
          <w:b/>
          <w:bCs/>
          <w:color w:val="1F1F1F"/>
          <w:sz w:val="22"/>
          <w:szCs w:val="22"/>
          <w:lang w:eastAsia="pt-BR"/>
        </w:rPr>
        <w:t>5.3. Substituição e Fluxo de Ativos Tombados</w:t>
      </w:r>
    </w:p>
    <w:p w14:paraId="55D275A7"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r w:rsidRPr="00ED35F4">
        <w:rPr>
          <w:rFonts w:ascii="Calibri" w:hAnsi="Calibri" w:cs="Calibri"/>
          <w:color w:val="1F1F1F"/>
          <w:sz w:val="22"/>
          <w:szCs w:val="22"/>
          <w:lang w:eastAsia="pt-BR"/>
        </w:rPr>
        <w:t>Dada a natureza de bens permanentes dos equipamentos, o processo de substituição observa rigorosamente as normas de controle patrimonial:</w:t>
      </w:r>
    </w:p>
    <w:p w14:paraId="28761F39" w14:textId="77777777" w:rsidR="00ED35F4" w:rsidRPr="00B81E38" w:rsidRDefault="00ED35F4" w:rsidP="00B81E38">
      <w:pPr>
        <w:pStyle w:val="PargrafodaLista"/>
        <w:numPr>
          <w:ilvl w:val="0"/>
          <w:numId w:val="36"/>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Desinstalação e Guarda</w:t>
      </w:r>
      <w:r w:rsidRPr="00B81E38">
        <w:rPr>
          <w:rFonts w:ascii="Calibri" w:hAnsi="Calibri" w:cs="Calibri"/>
          <w:color w:val="1F1F1F"/>
          <w:sz w:val="22"/>
          <w:szCs w:val="22"/>
        </w:rPr>
        <w:t>: As unidades obsoletas são desinstaladas e permanecem temporariamente sob a guarda da unidade demandante.</w:t>
      </w:r>
    </w:p>
    <w:p w14:paraId="36BA160E" w14:textId="77777777" w:rsidR="00ED35F4" w:rsidRPr="00B81E38" w:rsidRDefault="00ED35F4" w:rsidP="00B81E38">
      <w:pPr>
        <w:pStyle w:val="PargrafodaLista"/>
        <w:numPr>
          <w:ilvl w:val="0"/>
          <w:numId w:val="36"/>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Logística Interna:</w:t>
      </w:r>
      <w:r w:rsidRPr="00B81E38">
        <w:rPr>
          <w:rFonts w:ascii="Calibri" w:hAnsi="Calibri" w:cs="Calibri"/>
          <w:color w:val="1F1F1F"/>
          <w:sz w:val="22"/>
          <w:szCs w:val="22"/>
        </w:rPr>
        <w:t xml:space="preserve"> A </w:t>
      </w:r>
      <w:r w:rsidRPr="00B81E38">
        <w:rPr>
          <w:rFonts w:ascii="Calibri" w:hAnsi="Calibri" w:cs="Calibri"/>
          <w:b/>
          <w:bCs/>
          <w:color w:val="1F1F1F"/>
          <w:sz w:val="22"/>
          <w:szCs w:val="22"/>
        </w:rPr>
        <w:t>Coordenadoria de Manutenção (CMANUT)</w:t>
      </w:r>
      <w:r w:rsidRPr="00B81E38">
        <w:rPr>
          <w:rFonts w:ascii="Calibri" w:hAnsi="Calibri" w:cs="Calibri"/>
          <w:color w:val="1F1F1F"/>
          <w:sz w:val="22"/>
          <w:szCs w:val="22"/>
        </w:rPr>
        <w:t xml:space="preserve"> coordena o recolhimento dos aparelhos através do sistema de transportes do Tribunal.</w:t>
      </w:r>
    </w:p>
    <w:p w14:paraId="6817F17B" w14:textId="77777777" w:rsidR="00ED35F4" w:rsidRPr="00B81E38" w:rsidRDefault="00ED35F4" w:rsidP="00B81E38">
      <w:pPr>
        <w:pStyle w:val="PargrafodaLista"/>
        <w:numPr>
          <w:ilvl w:val="0"/>
          <w:numId w:val="36"/>
        </w:numPr>
        <w:suppressAutoHyphens w:val="0"/>
        <w:autoSpaceDN/>
        <w:spacing w:line="276" w:lineRule="auto"/>
        <w:jc w:val="both"/>
        <w:textAlignment w:val="auto"/>
        <w:rPr>
          <w:rFonts w:ascii="Calibri" w:hAnsi="Calibri" w:cs="Calibri"/>
          <w:color w:val="1F1F1F"/>
          <w:sz w:val="22"/>
          <w:szCs w:val="22"/>
        </w:rPr>
      </w:pPr>
      <w:r w:rsidRPr="00B81E38">
        <w:rPr>
          <w:rFonts w:ascii="Calibri" w:hAnsi="Calibri" w:cs="Calibri"/>
          <w:b/>
          <w:bCs/>
          <w:color w:val="1F1F1F"/>
          <w:sz w:val="22"/>
          <w:szCs w:val="22"/>
        </w:rPr>
        <w:t>Destinação Patrimonial</w:t>
      </w:r>
      <w:r w:rsidRPr="00B81E38">
        <w:rPr>
          <w:rFonts w:ascii="Calibri" w:hAnsi="Calibri" w:cs="Calibri"/>
          <w:color w:val="1F1F1F"/>
          <w:sz w:val="22"/>
          <w:szCs w:val="22"/>
        </w:rPr>
        <w:t xml:space="preserve">: Os ativos são encaminhados à </w:t>
      </w:r>
      <w:r w:rsidRPr="00B81E38">
        <w:rPr>
          <w:rFonts w:ascii="Calibri" w:hAnsi="Calibri" w:cs="Calibri"/>
          <w:b/>
          <w:bCs/>
          <w:color w:val="1F1F1F"/>
          <w:sz w:val="22"/>
          <w:szCs w:val="22"/>
        </w:rPr>
        <w:t xml:space="preserve">Coordenadoria de Material e Logística (CMLOG) </w:t>
      </w:r>
      <w:r w:rsidRPr="00B81E38">
        <w:rPr>
          <w:rFonts w:ascii="Calibri" w:hAnsi="Calibri" w:cs="Calibri"/>
          <w:color w:val="1F1F1F"/>
          <w:sz w:val="22"/>
          <w:szCs w:val="22"/>
        </w:rPr>
        <w:t>para processamento de baixa, futuro descarte e desalienação, em estrita observância à legislação vigente sobre bens públicos.</w:t>
      </w:r>
    </w:p>
    <w:p w14:paraId="7997E0E9" w14:textId="77777777" w:rsidR="00ED35F4" w:rsidRPr="00ED35F4"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529C33B1" w14:textId="77777777" w:rsidR="00ED35F4" w:rsidRDefault="00ED35F4" w:rsidP="00ED35F4">
      <w:pPr>
        <w:suppressAutoHyphens w:val="0"/>
        <w:autoSpaceDN/>
        <w:spacing w:line="276" w:lineRule="auto"/>
        <w:ind w:left="284"/>
        <w:jc w:val="both"/>
        <w:textAlignment w:val="auto"/>
        <w:rPr>
          <w:rFonts w:ascii="Calibri" w:hAnsi="Calibri" w:cs="Calibri"/>
          <w:b/>
          <w:bCs/>
          <w:color w:val="1F1F1F"/>
          <w:sz w:val="22"/>
          <w:szCs w:val="22"/>
          <w:lang w:eastAsia="pt-BR"/>
        </w:rPr>
      </w:pPr>
      <w:r w:rsidRPr="00B81E38">
        <w:rPr>
          <w:rFonts w:ascii="Calibri" w:hAnsi="Calibri" w:cs="Calibri"/>
          <w:b/>
          <w:bCs/>
          <w:color w:val="1F1F1F"/>
          <w:sz w:val="22"/>
          <w:szCs w:val="22"/>
          <w:lang w:eastAsia="pt-BR"/>
        </w:rPr>
        <w:t>5.4. Eficiência Operacional e Sustentabilidade</w:t>
      </w:r>
    </w:p>
    <w:p w14:paraId="3509909F" w14:textId="061A4508" w:rsidR="00CB73C7"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r w:rsidRPr="00ED35F4">
        <w:rPr>
          <w:rFonts w:ascii="Calibri" w:hAnsi="Calibri" w:cs="Calibri"/>
          <w:color w:val="1F1F1F"/>
          <w:sz w:val="22"/>
          <w:szCs w:val="22"/>
          <w:lang w:eastAsia="pt-BR"/>
        </w:rPr>
        <w:t>Ao longo do ciclo de uso, a solução foca na redução do</w:t>
      </w:r>
      <w:r w:rsidR="00B81E38">
        <w:rPr>
          <w:rFonts w:ascii="Calibri" w:hAnsi="Calibri" w:cs="Calibri"/>
          <w:color w:val="1F1F1F"/>
          <w:sz w:val="22"/>
          <w:szCs w:val="22"/>
          <w:lang w:eastAsia="pt-BR"/>
        </w:rPr>
        <w:t>s custos</w:t>
      </w:r>
      <w:r w:rsidRPr="00ED35F4">
        <w:rPr>
          <w:rFonts w:ascii="Calibri" w:hAnsi="Calibri" w:cs="Calibri"/>
          <w:color w:val="1F1F1F"/>
          <w:sz w:val="22"/>
          <w:szCs w:val="22"/>
          <w:lang w:eastAsia="pt-BR"/>
        </w:rPr>
        <w:t xml:space="preserve"> por meio da </w:t>
      </w:r>
      <w:proofErr w:type="gramStart"/>
      <w:r w:rsidRPr="00B81E38">
        <w:rPr>
          <w:rFonts w:ascii="Calibri" w:hAnsi="Calibri" w:cs="Calibri"/>
          <w:b/>
          <w:bCs/>
          <w:color w:val="1F1F1F"/>
          <w:sz w:val="22"/>
          <w:szCs w:val="22"/>
          <w:lang w:eastAsia="pt-BR"/>
        </w:rPr>
        <w:t>tecnologia Inverter</w:t>
      </w:r>
      <w:proofErr w:type="gramEnd"/>
      <w:r w:rsidRPr="00ED35F4">
        <w:rPr>
          <w:rFonts w:ascii="Calibri" w:hAnsi="Calibri" w:cs="Calibri"/>
          <w:color w:val="1F1F1F"/>
          <w:sz w:val="22"/>
          <w:szCs w:val="22"/>
          <w:lang w:eastAsia="pt-BR"/>
        </w:rPr>
        <w:t>, que minimiza o consumo de energia. O encerramento do ciclo de implementação ocorre com a transferência de manuais técnicos e a garantia dos serviços, assegurando que a Administração receba um sistema de climatização moderno, com infraestrutura renovada e total conformidade com as metas de logística sustentável do Tribunal.</w:t>
      </w:r>
    </w:p>
    <w:bookmarkEnd w:id="2"/>
    <w:p w14:paraId="50FC881A" w14:textId="77777777" w:rsidR="00ED35F4" w:rsidRPr="00734F0A" w:rsidRDefault="00ED35F4" w:rsidP="00ED35F4">
      <w:pPr>
        <w:suppressAutoHyphens w:val="0"/>
        <w:autoSpaceDN/>
        <w:spacing w:line="276" w:lineRule="auto"/>
        <w:ind w:left="284"/>
        <w:jc w:val="both"/>
        <w:textAlignment w:val="auto"/>
        <w:rPr>
          <w:rFonts w:ascii="Calibri" w:hAnsi="Calibri" w:cs="Calibri"/>
          <w:color w:val="1F1F1F"/>
          <w:sz w:val="22"/>
          <w:szCs w:val="22"/>
          <w:lang w:eastAsia="pt-BR"/>
        </w:rPr>
      </w:pPr>
    </w:p>
    <w:p w14:paraId="6106B081" w14:textId="77777777" w:rsidR="003D2EC2" w:rsidRDefault="003D2EC2" w:rsidP="004C1D82">
      <w:pPr>
        <w:pStyle w:val="PargrafodaLista"/>
        <w:numPr>
          <w:ilvl w:val="0"/>
          <w:numId w:val="42"/>
        </w:numPr>
        <w:spacing w:line="276" w:lineRule="auto"/>
        <w:ind w:left="284" w:hanging="284"/>
        <w:rPr>
          <w:rFonts w:ascii="Calibri" w:hAnsi="Calibri" w:cs="Calibri"/>
          <w:b/>
          <w:bCs/>
          <w:sz w:val="22"/>
          <w:szCs w:val="22"/>
        </w:rPr>
      </w:pPr>
      <w:r w:rsidRPr="006A2853">
        <w:rPr>
          <w:rFonts w:ascii="Calibri" w:hAnsi="Calibri" w:cs="Calibri"/>
          <w:b/>
          <w:bCs/>
          <w:sz w:val="22"/>
          <w:szCs w:val="22"/>
        </w:rPr>
        <w:t>JUSTIFICATIVA DA ESCOLHA DO TIPO DE SOLUÇÃO A CONTRATAR</w:t>
      </w:r>
    </w:p>
    <w:p w14:paraId="4DD72879" w14:textId="77777777" w:rsidR="00A14761" w:rsidRDefault="00A14761" w:rsidP="00A14761">
      <w:pPr>
        <w:pStyle w:val="PargrafodaLista"/>
        <w:spacing w:line="276" w:lineRule="auto"/>
        <w:ind w:left="284"/>
        <w:jc w:val="both"/>
        <w:rPr>
          <w:rFonts w:ascii="Calibri" w:hAnsi="Calibri" w:cs="Calibri"/>
          <w:sz w:val="22"/>
          <w:szCs w:val="22"/>
        </w:rPr>
      </w:pPr>
      <w:bookmarkStart w:id="3" w:name="_Hlk228862177"/>
      <w:r w:rsidRPr="00A14761">
        <w:rPr>
          <w:rFonts w:ascii="Calibri" w:hAnsi="Calibri" w:cs="Calibri"/>
          <w:sz w:val="22"/>
          <w:szCs w:val="22"/>
        </w:rPr>
        <w:t>A escolha da solução técnica fundamenta-se em uma análise comparativa de viabilidade que considera o desempenho tecnológico, a realidade arquitetônica do TRT7 e a otimização dos recursos públicos, conforme detalhado a seguir:</w:t>
      </w:r>
    </w:p>
    <w:p w14:paraId="2C2F0E18" w14:textId="77777777" w:rsidR="00A14761" w:rsidRPr="00356B91" w:rsidRDefault="00A14761" w:rsidP="00A14761">
      <w:pPr>
        <w:pStyle w:val="PargrafodaLista"/>
        <w:spacing w:line="276" w:lineRule="auto"/>
        <w:ind w:left="284"/>
        <w:jc w:val="both"/>
        <w:rPr>
          <w:rFonts w:ascii="Calibri" w:hAnsi="Calibri" w:cs="Calibri"/>
          <w:sz w:val="22"/>
          <w:szCs w:val="22"/>
        </w:rPr>
      </w:pPr>
    </w:p>
    <w:p w14:paraId="2CB0C973" w14:textId="42D761EE" w:rsidR="0093243D" w:rsidRPr="00356B91" w:rsidRDefault="0093243D" w:rsidP="00D87A29">
      <w:pPr>
        <w:pStyle w:val="PargrafodaLista"/>
        <w:numPr>
          <w:ilvl w:val="1"/>
          <w:numId w:val="43"/>
        </w:numPr>
        <w:spacing w:line="276" w:lineRule="auto"/>
        <w:ind w:left="567" w:hanging="283"/>
        <w:jc w:val="both"/>
        <w:rPr>
          <w:rFonts w:ascii="Calibri" w:hAnsi="Calibri" w:cs="Calibri"/>
          <w:b/>
          <w:bCs/>
          <w:sz w:val="22"/>
          <w:szCs w:val="22"/>
        </w:rPr>
      </w:pPr>
      <w:r w:rsidRPr="00356B91">
        <w:rPr>
          <w:rFonts w:ascii="Calibri" w:hAnsi="Calibri" w:cs="Calibri"/>
          <w:b/>
          <w:bCs/>
          <w:sz w:val="22"/>
          <w:szCs w:val="22"/>
        </w:rPr>
        <w:t>Compatibilidade com a Infraestrutura e Análise de Alternativas</w:t>
      </w:r>
    </w:p>
    <w:p w14:paraId="152D14B3" w14:textId="77777777" w:rsidR="0093243D" w:rsidRPr="00356B91" w:rsidRDefault="0093243D" w:rsidP="0093243D">
      <w:pPr>
        <w:pStyle w:val="PargrafodaLista"/>
        <w:spacing w:line="276" w:lineRule="auto"/>
        <w:ind w:left="284"/>
        <w:jc w:val="both"/>
        <w:rPr>
          <w:rFonts w:ascii="Calibri" w:hAnsi="Calibri" w:cs="Calibri"/>
          <w:sz w:val="22"/>
          <w:szCs w:val="22"/>
        </w:rPr>
      </w:pPr>
      <w:r w:rsidRPr="00356B91">
        <w:rPr>
          <w:rFonts w:ascii="Calibri" w:hAnsi="Calibri" w:cs="Calibri"/>
          <w:sz w:val="22"/>
          <w:szCs w:val="22"/>
        </w:rPr>
        <w:t xml:space="preserve">A análise considerou alternativas como </w:t>
      </w:r>
      <w:r w:rsidRPr="00356B91">
        <w:rPr>
          <w:rFonts w:ascii="Calibri" w:hAnsi="Calibri" w:cs="Calibri"/>
          <w:b/>
          <w:bCs/>
          <w:sz w:val="22"/>
          <w:szCs w:val="22"/>
        </w:rPr>
        <w:t xml:space="preserve">sistemas centrais (VRF ou </w:t>
      </w:r>
      <w:proofErr w:type="spellStart"/>
      <w:r w:rsidRPr="00356B91">
        <w:rPr>
          <w:rFonts w:ascii="Calibri" w:hAnsi="Calibri" w:cs="Calibri"/>
          <w:b/>
          <w:bCs/>
          <w:sz w:val="22"/>
          <w:szCs w:val="22"/>
        </w:rPr>
        <w:t>Chillers</w:t>
      </w:r>
      <w:proofErr w:type="spellEnd"/>
      <w:r w:rsidRPr="00356B91">
        <w:rPr>
          <w:rFonts w:ascii="Calibri" w:hAnsi="Calibri" w:cs="Calibri"/>
          <w:b/>
          <w:bCs/>
          <w:sz w:val="22"/>
          <w:szCs w:val="22"/>
        </w:rPr>
        <w:t xml:space="preserve">) </w:t>
      </w:r>
      <w:r w:rsidRPr="00356B91">
        <w:rPr>
          <w:rFonts w:ascii="Calibri" w:hAnsi="Calibri" w:cs="Calibri"/>
          <w:sz w:val="22"/>
          <w:szCs w:val="22"/>
        </w:rPr>
        <w:t>e</w:t>
      </w:r>
      <w:r w:rsidRPr="00356B91">
        <w:rPr>
          <w:rFonts w:ascii="Calibri" w:hAnsi="Calibri" w:cs="Calibri"/>
          <w:b/>
          <w:bCs/>
          <w:sz w:val="22"/>
          <w:szCs w:val="22"/>
        </w:rPr>
        <w:t xml:space="preserve"> aparelhos de janela</w:t>
      </w:r>
      <w:r w:rsidRPr="00356B91">
        <w:rPr>
          <w:rFonts w:ascii="Calibri" w:hAnsi="Calibri" w:cs="Calibri"/>
          <w:sz w:val="22"/>
          <w:szCs w:val="22"/>
        </w:rPr>
        <w:t xml:space="preserve">. Os sistemas centrais, embora eficientes em grandes vãos, exigiriam reformas estruturais complexas, redes de dutos e paradas prolongadas das atividades nas unidades </w:t>
      </w:r>
      <w:r w:rsidRPr="00356B91">
        <w:rPr>
          <w:rFonts w:ascii="Calibri" w:hAnsi="Calibri" w:cs="Calibri"/>
          <w:sz w:val="22"/>
          <w:szCs w:val="22"/>
        </w:rPr>
        <w:lastRenderedPageBreak/>
        <w:t>judiciárias. Já os aparelhos de janela apresentam baixa eficiência energética e altos níveis de ruído, estando em desconformidade com os padrões atuais de sustentabilidade.</w:t>
      </w:r>
    </w:p>
    <w:p w14:paraId="5E0B026D" w14:textId="77777777" w:rsidR="003D41B3" w:rsidRPr="00356B91" w:rsidRDefault="003D41B3" w:rsidP="0093243D">
      <w:pPr>
        <w:pStyle w:val="PargrafodaLista"/>
        <w:spacing w:line="276" w:lineRule="auto"/>
        <w:ind w:left="284"/>
        <w:jc w:val="both"/>
        <w:rPr>
          <w:rFonts w:ascii="Calibri" w:hAnsi="Calibri" w:cs="Calibri"/>
          <w:sz w:val="22"/>
          <w:szCs w:val="22"/>
        </w:rPr>
      </w:pPr>
    </w:p>
    <w:p w14:paraId="7D7FDB49" w14:textId="30C3AE85" w:rsidR="0093243D" w:rsidRPr="00356B91" w:rsidRDefault="0093243D" w:rsidP="0093243D">
      <w:pPr>
        <w:pStyle w:val="PargrafodaLista"/>
        <w:spacing w:line="276" w:lineRule="auto"/>
        <w:ind w:left="284"/>
        <w:jc w:val="both"/>
        <w:rPr>
          <w:rFonts w:ascii="Calibri" w:hAnsi="Calibri" w:cs="Calibri"/>
          <w:sz w:val="22"/>
          <w:szCs w:val="22"/>
        </w:rPr>
      </w:pPr>
      <w:r w:rsidRPr="00356B91">
        <w:rPr>
          <w:rFonts w:ascii="Calibri" w:hAnsi="Calibri" w:cs="Calibri"/>
          <w:sz w:val="22"/>
          <w:szCs w:val="22"/>
        </w:rPr>
        <w:t xml:space="preserve">Assim, a solução tipo </w:t>
      </w:r>
      <w:r w:rsidRPr="00356B91">
        <w:rPr>
          <w:rFonts w:ascii="Calibri" w:hAnsi="Calibri" w:cs="Calibri"/>
          <w:b/>
          <w:bCs/>
          <w:sz w:val="22"/>
          <w:szCs w:val="22"/>
        </w:rPr>
        <w:t>Split Inverter com Gás R32</w:t>
      </w:r>
      <w:r w:rsidRPr="00356B91">
        <w:rPr>
          <w:rFonts w:ascii="Calibri" w:hAnsi="Calibri" w:cs="Calibri"/>
          <w:sz w:val="22"/>
          <w:szCs w:val="22"/>
        </w:rPr>
        <w:t xml:space="preserve"> foi a escolhida por adaptar-se perfeitamente à infraestrutura atual das Varas do Trabalho. Esta opção permite o aproveitamento de passagens e pontos elétricos pré-existentes sem necessidade de intervenções civis de grande porte, garantindo agilidade na substituição e o melhor equilíbrio entre custo, silêncio e eficiência energética.</w:t>
      </w:r>
    </w:p>
    <w:p w14:paraId="21DD3124" w14:textId="77777777" w:rsidR="00D87A29" w:rsidRDefault="00D87A29" w:rsidP="0093243D">
      <w:pPr>
        <w:pStyle w:val="PargrafodaLista"/>
        <w:spacing w:line="276" w:lineRule="auto"/>
        <w:ind w:left="284"/>
        <w:jc w:val="both"/>
        <w:rPr>
          <w:rFonts w:ascii="Calibri" w:hAnsi="Calibri" w:cs="Calibri"/>
          <w:color w:val="EE0000"/>
          <w:sz w:val="22"/>
          <w:szCs w:val="22"/>
        </w:rPr>
      </w:pPr>
    </w:p>
    <w:p w14:paraId="614D3195" w14:textId="0B4A4605" w:rsidR="00A14761" w:rsidRPr="00A14761" w:rsidRDefault="00A14761" w:rsidP="00D87A29">
      <w:pPr>
        <w:pStyle w:val="PargrafodaLista"/>
        <w:numPr>
          <w:ilvl w:val="1"/>
          <w:numId w:val="43"/>
        </w:numPr>
        <w:spacing w:line="276" w:lineRule="auto"/>
        <w:ind w:left="567" w:hanging="283"/>
        <w:jc w:val="both"/>
        <w:rPr>
          <w:rFonts w:ascii="Calibri" w:hAnsi="Calibri" w:cs="Calibri"/>
          <w:b/>
          <w:bCs/>
          <w:sz w:val="22"/>
          <w:szCs w:val="22"/>
        </w:rPr>
      </w:pPr>
      <w:r w:rsidRPr="00A14761">
        <w:rPr>
          <w:rFonts w:ascii="Calibri" w:hAnsi="Calibri" w:cs="Calibri"/>
          <w:b/>
          <w:bCs/>
          <w:sz w:val="22"/>
          <w:szCs w:val="22"/>
        </w:rPr>
        <w:t>Eficiência Energética e Sustentabilidade</w:t>
      </w:r>
    </w:p>
    <w:p w14:paraId="697405C1" w14:textId="77777777" w:rsidR="00A14761" w:rsidRPr="00A14761" w:rsidRDefault="00A14761" w:rsidP="00A14761">
      <w:pPr>
        <w:pStyle w:val="PargrafodaLista"/>
        <w:spacing w:line="276" w:lineRule="auto"/>
        <w:ind w:left="284"/>
        <w:jc w:val="both"/>
        <w:rPr>
          <w:rFonts w:ascii="Calibri" w:hAnsi="Calibri" w:cs="Calibri"/>
          <w:sz w:val="22"/>
          <w:szCs w:val="22"/>
        </w:rPr>
      </w:pPr>
      <w:r w:rsidRPr="00A14761">
        <w:rPr>
          <w:rFonts w:ascii="Calibri" w:hAnsi="Calibri" w:cs="Calibri"/>
          <w:sz w:val="22"/>
          <w:szCs w:val="22"/>
        </w:rPr>
        <w:t xml:space="preserve">A opção exclusiva por modelos com </w:t>
      </w:r>
      <w:proofErr w:type="gramStart"/>
      <w:r w:rsidRPr="00A14761">
        <w:rPr>
          <w:rFonts w:ascii="Calibri" w:hAnsi="Calibri" w:cs="Calibri"/>
          <w:sz w:val="22"/>
          <w:szCs w:val="22"/>
        </w:rPr>
        <w:t xml:space="preserve">tecnologia </w:t>
      </w:r>
      <w:r w:rsidRPr="00116B28">
        <w:rPr>
          <w:rFonts w:ascii="Calibri" w:hAnsi="Calibri" w:cs="Calibri"/>
          <w:b/>
          <w:bCs/>
          <w:sz w:val="22"/>
          <w:szCs w:val="22"/>
        </w:rPr>
        <w:t>Inverter</w:t>
      </w:r>
      <w:proofErr w:type="gramEnd"/>
      <w:r w:rsidRPr="00A14761">
        <w:rPr>
          <w:rFonts w:ascii="Calibri" w:hAnsi="Calibri" w:cs="Calibri"/>
          <w:sz w:val="22"/>
          <w:szCs w:val="22"/>
        </w:rPr>
        <w:t xml:space="preserve"> justifica-se pelo seu ciclo de funcionamento inteligente, que modula a velocidade do compressor e evita picos de consumo. Esta escolha proporciona redução no consumo de energia, menor nível de ruído no ambiente laboral e maior vida útil dos componentes, reduzindo o descarte de resíduos sólidos.</w:t>
      </w:r>
    </w:p>
    <w:p w14:paraId="230DBB25" w14:textId="77777777" w:rsidR="00A14761" w:rsidRPr="00A14761" w:rsidRDefault="00A14761" w:rsidP="00A14761">
      <w:pPr>
        <w:pStyle w:val="PargrafodaLista"/>
        <w:spacing w:line="276" w:lineRule="auto"/>
        <w:ind w:left="284"/>
        <w:jc w:val="both"/>
        <w:rPr>
          <w:rFonts w:ascii="Calibri" w:hAnsi="Calibri" w:cs="Calibri"/>
          <w:sz w:val="22"/>
          <w:szCs w:val="22"/>
        </w:rPr>
      </w:pPr>
    </w:p>
    <w:p w14:paraId="60D141D9" w14:textId="23521614" w:rsidR="00A14761" w:rsidRPr="006C06FC" w:rsidRDefault="00A14761" w:rsidP="00D87A29">
      <w:pPr>
        <w:pStyle w:val="PargrafodaLista"/>
        <w:numPr>
          <w:ilvl w:val="1"/>
          <w:numId w:val="43"/>
        </w:numPr>
        <w:spacing w:line="276" w:lineRule="auto"/>
        <w:ind w:left="567" w:hanging="283"/>
        <w:jc w:val="both"/>
        <w:rPr>
          <w:rFonts w:ascii="Calibri" w:hAnsi="Calibri" w:cs="Calibri"/>
          <w:b/>
          <w:bCs/>
          <w:sz w:val="22"/>
          <w:szCs w:val="22"/>
        </w:rPr>
      </w:pPr>
      <w:r w:rsidRPr="006C06FC">
        <w:rPr>
          <w:rFonts w:ascii="Calibri" w:hAnsi="Calibri" w:cs="Calibri"/>
          <w:b/>
          <w:bCs/>
          <w:sz w:val="22"/>
          <w:szCs w:val="22"/>
        </w:rPr>
        <w:t>Contratação Integrada e Responsabilidade Técnica</w:t>
      </w:r>
    </w:p>
    <w:p w14:paraId="56D7FFA4" w14:textId="77777777" w:rsidR="00A14761" w:rsidRPr="00A14761" w:rsidRDefault="00A14761" w:rsidP="00A14761">
      <w:pPr>
        <w:pStyle w:val="PargrafodaLista"/>
        <w:spacing w:line="276" w:lineRule="auto"/>
        <w:ind w:left="284"/>
        <w:jc w:val="both"/>
        <w:rPr>
          <w:rFonts w:ascii="Calibri" w:hAnsi="Calibri" w:cs="Calibri"/>
          <w:sz w:val="22"/>
          <w:szCs w:val="22"/>
        </w:rPr>
      </w:pPr>
      <w:r w:rsidRPr="00A14761">
        <w:rPr>
          <w:rFonts w:ascii="Calibri" w:hAnsi="Calibri" w:cs="Calibri"/>
          <w:sz w:val="22"/>
          <w:szCs w:val="22"/>
        </w:rPr>
        <w:t xml:space="preserve">A contratação compreendendo o fornecimento, infraestrutura e instalação completa justifica-se pela </w:t>
      </w:r>
      <w:r w:rsidRPr="00A14761">
        <w:rPr>
          <w:rFonts w:ascii="Calibri" w:hAnsi="Calibri" w:cs="Calibri"/>
          <w:b/>
          <w:bCs/>
          <w:sz w:val="22"/>
          <w:szCs w:val="22"/>
        </w:rPr>
        <w:t>interdependência técnica</w:t>
      </w:r>
      <w:r w:rsidRPr="00A14761">
        <w:rPr>
          <w:rFonts w:ascii="Calibri" w:hAnsi="Calibri" w:cs="Calibri"/>
          <w:sz w:val="22"/>
          <w:szCs w:val="22"/>
        </w:rPr>
        <w:t xml:space="preserve"> entre os elementos. Conforme orienta a Lei nº 14.133/2021, o parcelamento deve ser evitado quando comprometer a economia de escala ou a integridade da garantia. Ao unificar o objeto, o Tribunal assegura responsabilidade técnica única (ART/RRT), evitando conflitos de atribuição entre fabricante e instalador. A viabilidade econômica é reforçada pela utilização de balizadores oficiais (SINAPI, SEINFRA e ORSE), conforme o </w:t>
      </w:r>
      <w:r w:rsidRPr="00A14761">
        <w:rPr>
          <w:rFonts w:ascii="Calibri" w:hAnsi="Calibri" w:cs="Calibri"/>
          <w:b/>
          <w:bCs/>
          <w:sz w:val="22"/>
          <w:szCs w:val="22"/>
        </w:rPr>
        <w:t>Anexo III</w:t>
      </w:r>
      <w:r w:rsidRPr="00A14761">
        <w:rPr>
          <w:rFonts w:ascii="Calibri" w:hAnsi="Calibri" w:cs="Calibri"/>
          <w:sz w:val="22"/>
          <w:szCs w:val="22"/>
        </w:rPr>
        <w:t>.</w:t>
      </w:r>
    </w:p>
    <w:p w14:paraId="3777204E" w14:textId="77777777" w:rsidR="00A14761" w:rsidRPr="00A14761" w:rsidRDefault="00A14761" w:rsidP="00A14761">
      <w:pPr>
        <w:pStyle w:val="PargrafodaLista"/>
        <w:spacing w:line="276" w:lineRule="auto"/>
        <w:ind w:left="284"/>
        <w:jc w:val="both"/>
        <w:rPr>
          <w:rFonts w:ascii="Calibri" w:hAnsi="Calibri" w:cs="Calibri"/>
          <w:sz w:val="22"/>
          <w:szCs w:val="22"/>
        </w:rPr>
      </w:pPr>
    </w:p>
    <w:p w14:paraId="701F0F20" w14:textId="1407E8CB" w:rsidR="00A14761" w:rsidRPr="006C06FC" w:rsidRDefault="00A14761" w:rsidP="00D87A29">
      <w:pPr>
        <w:pStyle w:val="PargrafodaLista"/>
        <w:numPr>
          <w:ilvl w:val="1"/>
          <w:numId w:val="43"/>
        </w:numPr>
        <w:tabs>
          <w:tab w:val="left" w:pos="567"/>
        </w:tabs>
        <w:spacing w:line="276" w:lineRule="auto"/>
        <w:ind w:left="709" w:hanging="425"/>
        <w:jc w:val="both"/>
        <w:rPr>
          <w:rFonts w:ascii="Calibri" w:hAnsi="Calibri" w:cs="Calibri"/>
          <w:b/>
          <w:bCs/>
          <w:sz w:val="22"/>
          <w:szCs w:val="22"/>
        </w:rPr>
      </w:pPr>
      <w:r w:rsidRPr="006C06FC">
        <w:rPr>
          <w:rFonts w:ascii="Calibri" w:hAnsi="Calibri" w:cs="Calibri"/>
          <w:b/>
          <w:bCs/>
          <w:sz w:val="22"/>
          <w:szCs w:val="22"/>
        </w:rPr>
        <w:t>Modelo de Registro de Preços (SRP) e Fundamentação Quantitativa</w:t>
      </w:r>
    </w:p>
    <w:p w14:paraId="729420B4" w14:textId="77777777" w:rsidR="00A14761" w:rsidRPr="00A14761" w:rsidRDefault="00A14761" w:rsidP="00A14761">
      <w:pPr>
        <w:pStyle w:val="PargrafodaLista"/>
        <w:spacing w:line="276" w:lineRule="auto"/>
        <w:ind w:left="284"/>
        <w:jc w:val="both"/>
        <w:rPr>
          <w:rFonts w:ascii="Calibri" w:hAnsi="Calibri" w:cs="Calibri"/>
          <w:sz w:val="22"/>
          <w:szCs w:val="22"/>
        </w:rPr>
      </w:pPr>
      <w:r w:rsidRPr="00A14761">
        <w:rPr>
          <w:rFonts w:ascii="Calibri" w:hAnsi="Calibri" w:cs="Calibri"/>
          <w:sz w:val="22"/>
          <w:szCs w:val="22"/>
        </w:rPr>
        <w:t>A utilização do SRP justifica-se pela natureza da demanda, caracterizada por necessidades frequentes, mas de difícil previsão cronológica. O enquadramento fundamenta-se em dois pilares:</w:t>
      </w:r>
    </w:p>
    <w:p w14:paraId="37B790C1" w14:textId="77777777" w:rsidR="00A14761" w:rsidRPr="00A14761" w:rsidRDefault="00A14761" w:rsidP="00A14761">
      <w:pPr>
        <w:pStyle w:val="PargrafodaLista"/>
        <w:spacing w:line="276" w:lineRule="auto"/>
        <w:ind w:left="284"/>
        <w:jc w:val="both"/>
        <w:rPr>
          <w:rFonts w:ascii="Calibri" w:hAnsi="Calibri" w:cs="Calibri"/>
          <w:sz w:val="22"/>
          <w:szCs w:val="22"/>
        </w:rPr>
      </w:pPr>
    </w:p>
    <w:p w14:paraId="1838FD3B" w14:textId="77777777" w:rsidR="00A14761" w:rsidRPr="00A14761" w:rsidRDefault="00A14761" w:rsidP="00A14761">
      <w:pPr>
        <w:pStyle w:val="PargrafodaLista"/>
        <w:numPr>
          <w:ilvl w:val="0"/>
          <w:numId w:val="39"/>
        </w:numPr>
        <w:spacing w:line="276" w:lineRule="auto"/>
        <w:ind w:left="709"/>
        <w:jc w:val="both"/>
        <w:rPr>
          <w:rFonts w:ascii="Calibri" w:hAnsi="Calibri" w:cs="Calibri"/>
          <w:sz w:val="22"/>
          <w:szCs w:val="22"/>
        </w:rPr>
      </w:pPr>
      <w:r w:rsidRPr="00A14761">
        <w:rPr>
          <w:rFonts w:ascii="Calibri" w:hAnsi="Calibri" w:cs="Calibri"/>
          <w:b/>
          <w:bCs/>
          <w:sz w:val="22"/>
          <w:szCs w:val="22"/>
        </w:rPr>
        <w:t>Fundamentação Legal e Quantitativa:</w:t>
      </w:r>
      <w:r w:rsidRPr="00A14761">
        <w:rPr>
          <w:rFonts w:ascii="Calibri" w:hAnsi="Calibri" w:cs="Calibri"/>
          <w:sz w:val="22"/>
          <w:szCs w:val="22"/>
        </w:rPr>
        <w:t xml:space="preserve"> A estimativa das quantidades baseia-se no histórico de demandas registrado no </w:t>
      </w:r>
      <w:r w:rsidRPr="00A14761">
        <w:rPr>
          <w:rFonts w:ascii="Calibri" w:hAnsi="Calibri" w:cs="Calibri"/>
          <w:b/>
          <w:bCs/>
          <w:sz w:val="22"/>
          <w:szCs w:val="22"/>
        </w:rPr>
        <w:t>PROAD nº 341/2024</w:t>
      </w:r>
      <w:r w:rsidRPr="00A14761">
        <w:rPr>
          <w:rFonts w:ascii="Calibri" w:hAnsi="Calibri" w:cs="Calibri"/>
          <w:sz w:val="22"/>
          <w:szCs w:val="22"/>
        </w:rPr>
        <w:t xml:space="preserve"> (ARP anterior) e no levantamento de </w:t>
      </w:r>
      <w:r w:rsidRPr="00A14761">
        <w:rPr>
          <w:rFonts w:ascii="Calibri" w:hAnsi="Calibri" w:cs="Calibri"/>
          <w:b/>
          <w:bCs/>
          <w:sz w:val="22"/>
          <w:szCs w:val="22"/>
        </w:rPr>
        <w:t>ativos com mais de 05 anos de uso</w:t>
      </w:r>
      <w:r w:rsidRPr="00A14761">
        <w:rPr>
          <w:rFonts w:ascii="Calibri" w:hAnsi="Calibri" w:cs="Calibri"/>
          <w:sz w:val="22"/>
          <w:szCs w:val="22"/>
        </w:rPr>
        <w:t xml:space="preserve">, atendendo ao disposto no </w:t>
      </w:r>
      <w:r w:rsidRPr="00A14761">
        <w:rPr>
          <w:rFonts w:ascii="Calibri" w:hAnsi="Calibri" w:cs="Calibri"/>
          <w:b/>
          <w:bCs/>
          <w:sz w:val="22"/>
          <w:szCs w:val="22"/>
        </w:rPr>
        <w:t>art. 82, § 3º, inciso I, da Lei nº 14.133/2021</w:t>
      </w:r>
      <w:r w:rsidRPr="00A14761">
        <w:rPr>
          <w:rFonts w:ascii="Calibri" w:hAnsi="Calibri" w:cs="Calibri"/>
          <w:sz w:val="22"/>
          <w:szCs w:val="22"/>
        </w:rPr>
        <w:t>.</w:t>
      </w:r>
    </w:p>
    <w:p w14:paraId="7E236D88" w14:textId="71582B74" w:rsidR="00A14761" w:rsidRPr="00A14761" w:rsidRDefault="00A14761" w:rsidP="00A14761">
      <w:pPr>
        <w:pStyle w:val="PargrafodaLista"/>
        <w:numPr>
          <w:ilvl w:val="0"/>
          <w:numId w:val="39"/>
        </w:numPr>
        <w:spacing w:line="276" w:lineRule="auto"/>
        <w:ind w:left="709"/>
        <w:jc w:val="both"/>
        <w:rPr>
          <w:rFonts w:ascii="Calibri" w:hAnsi="Calibri" w:cs="Calibri"/>
          <w:sz w:val="22"/>
          <w:szCs w:val="22"/>
        </w:rPr>
      </w:pPr>
      <w:r w:rsidRPr="00A14761">
        <w:rPr>
          <w:rFonts w:ascii="Calibri" w:hAnsi="Calibri" w:cs="Calibri"/>
          <w:b/>
          <w:bCs/>
          <w:sz w:val="22"/>
          <w:szCs w:val="22"/>
        </w:rPr>
        <w:t>Hipótese de Utilização:</w:t>
      </w:r>
      <w:r w:rsidRPr="00A14761">
        <w:rPr>
          <w:rFonts w:ascii="Calibri" w:hAnsi="Calibri" w:cs="Calibri"/>
          <w:sz w:val="22"/>
          <w:szCs w:val="22"/>
        </w:rPr>
        <w:t xml:space="preserve"> A adoção do SRP enquadra-se </w:t>
      </w:r>
      <w:r w:rsidRPr="00CC7A10">
        <w:rPr>
          <w:rFonts w:ascii="Calibri" w:hAnsi="Calibri" w:cs="Calibri"/>
          <w:color w:val="EE0000"/>
          <w:sz w:val="22"/>
          <w:szCs w:val="22"/>
        </w:rPr>
        <w:t xml:space="preserve">no </w:t>
      </w:r>
      <w:r w:rsidR="00CC7A10" w:rsidRPr="00CC7A10">
        <w:rPr>
          <w:rFonts w:ascii="Calibri" w:hAnsi="Calibri" w:cs="Calibri"/>
          <w:b/>
          <w:bCs/>
          <w:color w:val="EE0000"/>
          <w:sz w:val="22"/>
          <w:szCs w:val="22"/>
        </w:rPr>
        <w:t>§ único, inciso II do art. 3º do Decreto nº 11.462/2023</w:t>
      </w:r>
      <w:r w:rsidRPr="00A14761">
        <w:rPr>
          <w:rFonts w:ascii="Calibri" w:hAnsi="Calibri" w:cs="Calibri"/>
          <w:sz w:val="22"/>
          <w:szCs w:val="22"/>
        </w:rPr>
        <w:t>, pela necessidade de contratações frequentes de bens onde a entrega parcelada é mais adequada.</w:t>
      </w:r>
    </w:p>
    <w:p w14:paraId="302DE674" w14:textId="77777777" w:rsidR="00A14761" w:rsidRPr="00A14761" w:rsidRDefault="00A14761" w:rsidP="00A14761">
      <w:pPr>
        <w:pStyle w:val="PargrafodaLista"/>
        <w:spacing w:line="276" w:lineRule="auto"/>
        <w:ind w:left="284"/>
        <w:jc w:val="both"/>
        <w:rPr>
          <w:rFonts w:ascii="Calibri" w:hAnsi="Calibri" w:cs="Calibri"/>
          <w:sz w:val="22"/>
          <w:szCs w:val="22"/>
        </w:rPr>
      </w:pPr>
    </w:p>
    <w:p w14:paraId="3CCB1D93" w14:textId="77777777" w:rsidR="00116B28" w:rsidRDefault="00A14761" w:rsidP="00A14761">
      <w:pPr>
        <w:pStyle w:val="PargrafodaLista"/>
        <w:spacing w:line="276" w:lineRule="auto"/>
        <w:ind w:left="284"/>
        <w:jc w:val="both"/>
        <w:rPr>
          <w:rFonts w:ascii="Calibri" w:hAnsi="Calibri" w:cs="Calibri"/>
          <w:sz w:val="22"/>
          <w:szCs w:val="22"/>
        </w:rPr>
      </w:pPr>
      <w:r w:rsidRPr="00A14761">
        <w:rPr>
          <w:rFonts w:ascii="Calibri" w:hAnsi="Calibri" w:cs="Calibri"/>
          <w:sz w:val="22"/>
          <w:szCs w:val="22"/>
        </w:rPr>
        <w:t xml:space="preserve">Este modelo confere a agilidade necessária para substituir ativos avariados sem a necessidade de múltiplos processos licitatórios, evitando a imobilização de capital em </w:t>
      </w:r>
      <w:r w:rsidRPr="00A14761">
        <w:rPr>
          <w:rFonts w:ascii="Calibri" w:hAnsi="Calibri" w:cs="Calibri"/>
          <w:sz w:val="22"/>
          <w:szCs w:val="22"/>
        </w:rPr>
        <w:lastRenderedPageBreak/>
        <w:t>estoques e garantindo a continuidade do serviço público com máxima eficiência administrativa.</w:t>
      </w:r>
    </w:p>
    <w:bookmarkEnd w:id="3"/>
    <w:p w14:paraId="55BFFA92" w14:textId="555BC616" w:rsidR="005A0ABD" w:rsidRDefault="00AC4CA8" w:rsidP="00A14761">
      <w:pPr>
        <w:pStyle w:val="PargrafodaLista"/>
        <w:spacing w:line="276" w:lineRule="auto"/>
        <w:ind w:left="28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3CCF43D8" w14:textId="77777777" w:rsidR="0018746B" w:rsidRPr="008D2646" w:rsidRDefault="004C792A" w:rsidP="00D87A29">
      <w:pPr>
        <w:numPr>
          <w:ilvl w:val="0"/>
          <w:numId w:val="43"/>
        </w:numPr>
        <w:autoSpaceDN/>
        <w:spacing w:line="276" w:lineRule="auto"/>
        <w:ind w:left="284" w:hanging="284"/>
        <w:jc w:val="both"/>
        <w:textAlignment w:val="auto"/>
        <w:rPr>
          <w:rFonts w:ascii="Calibri" w:hAnsi="Calibri" w:cs="Calibri"/>
          <w:bCs/>
          <w:sz w:val="22"/>
          <w:szCs w:val="22"/>
          <w:lang w:eastAsia="pt-BR"/>
        </w:rPr>
      </w:pPr>
      <w:r>
        <w:rPr>
          <w:rFonts w:ascii="Calibri" w:hAnsi="Calibri" w:cs="Calibri"/>
          <w:b/>
          <w:bCs/>
          <w:sz w:val="22"/>
          <w:szCs w:val="22"/>
        </w:rPr>
        <w:t xml:space="preserve">ESTIMATIVA DAS QUANTIDADES A SEREM CONTRATADAS: </w:t>
      </w:r>
      <w:bookmarkStart w:id="4" w:name="_Hlk207272958"/>
    </w:p>
    <w:p w14:paraId="3A06BA5A" w14:textId="256572F0" w:rsidR="003C7233" w:rsidRDefault="005B0965" w:rsidP="00CB73C7">
      <w:pPr>
        <w:autoSpaceDN/>
        <w:spacing w:line="276" w:lineRule="auto"/>
        <w:ind w:left="284"/>
        <w:jc w:val="both"/>
        <w:textAlignment w:val="auto"/>
        <w:rPr>
          <w:rFonts w:ascii="Calibri" w:hAnsi="Calibri" w:cs="Calibri"/>
          <w:bCs/>
          <w:sz w:val="22"/>
          <w:szCs w:val="22"/>
        </w:rPr>
      </w:pPr>
      <w:r w:rsidRPr="005B0965">
        <w:rPr>
          <w:rFonts w:ascii="Calibri" w:hAnsi="Calibri" w:cs="Calibri"/>
          <w:bCs/>
          <w:sz w:val="22"/>
          <w:szCs w:val="22"/>
        </w:rPr>
        <w:t xml:space="preserve">A definição dos quantitativos para o presente Registro de Preços fundamenta-se no histórico de demandas da </w:t>
      </w:r>
      <w:r w:rsidRPr="005B0965">
        <w:rPr>
          <w:rFonts w:ascii="Calibri" w:hAnsi="Calibri" w:cs="Calibri"/>
          <w:b/>
          <w:sz w:val="22"/>
          <w:szCs w:val="22"/>
        </w:rPr>
        <w:t>Coordenadoria de Manutenção</w:t>
      </w:r>
      <w:r w:rsidRPr="005B0965">
        <w:rPr>
          <w:rFonts w:ascii="Calibri" w:hAnsi="Calibri" w:cs="Calibri"/>
          <w:bCs/>
          <w:sz w:val="22"/>
          <w:szCs w:val="22"/>
        </w:rPr>
        <w:t xml:space="preserve"> e na necessidade de reposição de </w:t>
      </w:r>
      <w:r w:rsidRPr="00116B28">
        <w:rPr>
          <w:rFonts w:ascii="Calibri" w:hAnsi="Calibri" w:cs="Calibri"/>
          <w:b/>
          <w:sz w:val="22"/>
          <w:szCs w:val="22"/>
        </w:rPr>
        <w:t>ativos obsoletos com mais de 05 (cinco) anos de uso</w:t>
      </w:r>
      <w:r>
        <w:rPr>
          <w:rFonts w:ascii="Calibri" w:hAnsi="Calibri" w:cs="Calibri"/>
          <w:bCs/>
          <w:sz w:val="22"/>
          <w:szCs w:val="22"/>
        </w:rPr>
        <w:t xml:space="preserve"> </w:t>
      </w:r>
      <w:r w:rsidRPr="005B0965">
        <w:rPr>
          <w:rFonts w:ascii="Calibri" w:hAnsi="Calibri" w:cs="Calibri"/>
          <w:bCs/>
          <w:sz w:val="22"/>
          <w:szCs w:val="22"/>
        </w:rPr>
        <w:t>em todo o parque imobiliário do TRT7. A estimativa foi consolidada para garantir a cobertura das necessidades de climatização nas diversas capacidades térmicas utilizadas pelo Tribunal (</w:t>
      </w:r>
      <w:r w:rsidR="003A1A69">
        <w:rPr>
          <w:rFonts w:ascii="Calibri" w:hAnsi="Calibri" w:cs="Calibri"/>
          <w:b/>
          <w:sz w:val="22"/>
          <w:szCs w:val="22"/>
        </w:rPr>
        <w:t>12</w:t>
      </w:r>
      <w:r w:rsidRPr="00581F3F">
        <w:rPr>
          <w:rFonts w:ascii="Calibri" w:hAnsi="Calibri" w:cs="Calibri"/>
          <w:b/>
          <w:sz w:val="22"/>
          <w:szCs w:val="22"/>
        </w:rPr>
        <w:t xml:space="preserve">.000 a </w:t>
      </w:r>
      <w:r w:rsidR="003A1A69">
        <w:rPr>
          <w:rFonts w:ascii="Calibri" w:hAnsi="Calibri" w:cs="Calibri"/>
          <w:b/>
          <w:sz w:val="22"/>
          <w:szCs w:val="22"/>
        </w:rPr>
        <w:t>36</w:t>
      </w:r>
      <w:r w:rsidRPr="00581F3F">
        <w:rPr>
          <w:rFonts w:ascii="Calibri" w:hAnsi="Calibri" w:cs="Calibri"/>
          <w:b/>
          <w:sz w:val="22"/>
          <w:szCs w:val="22"/>
        </w:rPr>
        <w:t xml:space="preserve">.000 </w:t>
      </w:r>
      <w:proofErr w:type="spellStart"/>
      <w:r w:rsidRPr="00581F3F">
        <w:rPr>
          <w:rFonts w:ascii="Calibri" w:hAnsi="Calibri" w:cs="Calibri"/>
          <w:b/>
          <w:sz w:val="22"/>
          <w:szCs w:val="22"/>
        </w:rPr>
        <w:t>BTUs</w:t>
      </w:r>
      <w:proofErr w:type="spellEnd"/>
      <w:r w:rsidRPr="005B0965">
        <w:rPr>
          <w:rFonts w:ascii="Calibri" w:hAnsi="Calibri" w:cs="Calibri"/>
          <w:bCs/>
          <w:sz w:val="22"/>
          <w:szCs w:val="22"/>
        </w:rPr>
        <w:t>), assegurando a capilaridade da solução em todas as unidades administrativas e judiciárias do Regional</w:t>
      </w:r>
      <w:r w:rsidR="002E3996">
        <w:rPr>
          <w:rFonts w:ascii="Calibri" w:hAnsi="Calibri" w:cs="Calibri"/>
          <w:bCs/>
          <w:sz w:val="22"/>
          <w:szCs w:val="22"/>
        </w:rPr>
        <w:t xml:space="preserve">, conforme o </w:t>
      </w:r>
      <w:r w:rsidRPr="005B0965">
        <w:rPr>
          <w:rFonts w:ascii="Calibri" w:hAnsi="Calibri" w:cs="Calibri"/>
          <w:b/>
          <w:sz w:val="22"/>
          <w:szCs w:val="22"/>
        </w:rPr>
        <w:t>ANEXO III - Planilha Estimativa de Custos e Formação de Preços</w:t>
      </w:r>
      <w:r w:rsidR="00BB40E8">
        <w:rPr>
          <w:rFonts w:ascii="Calibri" w:hAnsi="Calibri" w:cs="Calibri"/>
          <w:bCs/>
          <w:sz w:val="22"/>
          <w:szCs w:val="22"/>
        </w:rPr>
        <w:t xml:space="preserve"> do </w:t>
      </w:r>
      <w:r w:rsidR="00BB40E8" w:rsidRPr="00BB40E8">
        <w:rPr>
          <w:rFonts w:ascii="Calibri" w:hAnsi="Calibri" w:cs="Calibri"/>
          <w:b/>
          <w:sz w:val="22"/>
          <w:szCs w:val="22"/>
        </w:rPr>
        <w:t>Termo de Referência</w:t>
      </w:r>
      <w:r w:rsidR="002E3996">
        <w:rPr>
          <w:rFonts w:ascii="Calibri" w:hAnsi="Calibri" w:cs="Calibri"/>
          <w:bCs/>
          <w:sz w:val="22"/>
          <w:szCs w:val="22"/>
        </w:rPr>
        <w:t>.</w:t>
      </w:r>
    </w:p>
    <w:p w14:paraId="041E26EC" w14:textId="77777777" w:rsidR="00CB73C7" w:rsidRDefault="00CB73C7" w:rsidP="00CB73C7">
      <w:pPr>
        <w:autoSpaceDN/>
        <w:spacing w:line="276" w:lineRule="auto"/>
        <w:ind w:left="284"/>
        <w:jc w:val="both"/>
        <w:textAlignment w:val="auto"/>
        <w:rPr>
          <w:rFonts w:ascii="Calibri" w:hAnsi="Calibri" w:cs="Calibri"/>
          <w:bCs/>
          <w:sz w:val="22"/>
          <w:szCs w:val="22"/>
          <w:lang w:eastAsia="pt-BR"/>
        </w:rPr>
      </w:pPr>
    </w:p>
    <w:bookmarkEnd w:id="4"/>
    <w:p w14:paraId="0B4BD336" w14:textId="5B1FAC03" w:rsidR="003D2EC2" w:rsidRPr="008D2646" w:rsidRDefault="004C792A" w:rsidP="00D87A29">
      <w:pPr>
        <w:pStyle w:val="PargrafodaLista"/>
        <w:numPr>
          <w:ilvl w:val="0"/>
          <w:numId w:val="43"/>
        </w:numPr>
        <w:autoSpaceDN/>
        <w:spacing w:line="276" w:lineRule="auto"/>
        <w:ind w:left="284" w:hanging="284"/>
        <w:jc w:val="both"/>
        <w:textAlignment w:val="auto"/>
        <w:rPr>
          <w:rFonts w:ascii="Calibri" w:hAnsi="Calibri" w:cs="Calibri"/>
          <w:bCs/>
          <w:sz w:val="22"/>
          <w:szCs w:val="22"/>
        </w:rPr>
      </w:pPr>
      <w:r w:rsidRPr="00901D1A">
        <w:rPr>
          <w:rFonts w:ascii="Calibri" w:hAnsi="Calibri" w:cs="Calibri"/>
          <w:b/>
          <w:bCs/>
          <w:sz w:val="22"/>
          <w:szCs w:val="22"/>
        </w:rPr>
        <w:t>ESTIMATIVA DO VALOR DA CONTRATAÇÃO:</w:t>
      </w:r>
      <w:r w:rsidRPr="00901D1A">
        <w:rPr>
          <w:rFonts w:ascii="Calibri" w:hAnsi="Calibri" w:cs="Calibri"/>
          <w:sz w:val="22"/>
          <w:szCs w:val="22"/>
        </w:rPr>
        <w:t xml:space="preserve"> </w:t>
      </w:r>
    </w:p>
    <w:p w14:paraId="35649203" w14:textId="06E0E21B" w:rsidR="0073409E" w:rsidRDefault="00176744" w:rsidP="00CB73C7">
      <w:pPr>
        <w:autoSpaceDN/>
        <w:spacing w:line="276" w:lineRule="auto"/>
        <w:ind w:left="284"/>
        <w:jc w:val="both"/>
        <w:textAlignment w:val="auto"/>
        <w:rPr>
          <w:rFonts w:ascii="Calibri" w:hAnsi="Calibri" w:cs="Calibri"/>
          <w:b/>
          <w:bCs/>
          <w:sz w:val="22"/>
          <w:szCs w:val="22"/>
          <w:lang w:eastAsia="pt-BR"/>
        </w:rPr>
      </w:pPr>
      <w:r w:rsidRPr="00E04F96">
        <w:rPr>
          <w:rFonts w:ascii="Calibri" w:hAnsi="Calibri" w:cs="Calibri"/>
          <w:sz w:val="22"/>
          <w:szCs w:val="22"/>
          <w:lang w:eastAsia="pt-BR"/>
        </w:rPr>
        <w:t xml:space="preserve">O valor estimado da contratação do objeto deste ETP se encontra no </w:t>
      </w:r>
      <w:r w:rsidR="005B0965" w:rsidRPr="005B0965">
        <w:rPr>
          <w:rFonts w:ascii="Calibri" w:hAnsi="Calibri" w:cs="Calibri"/>
          <w:b/>
          <w:bCs/>
          <w:sz w:val="22"/>
          <w:szCs w:val="22"/>
          <w:lang w:eastAsia="pt-BR"/>
        </w:rPr>
        <w:t>ANEXO III - Planilha Estimativa de Custos e Formação de Preços</w:t>
      </w:r>
      <w:r w:rsidR="002F09C3" w:rsidRPr="008B16AC">
        <w:rPr>
          <w:rFonts w:ascii="Calibri" w:hAnsi="Calibri" w:cs="Calibri"/>
          <w:sz w:val="22"/>
          <w:szCs w:val="22"/>
          <w:lang w:eastAsia="pt-BR"/>
        </w:rPr>
        <w:t xml:space="preserve"> do </w:t>
      </w:r>
      <w:r w:rsidR="002F09C3" w:rsidRPr="008B16AC">
        <w:rPr>
          <w:rFonts w:ascii="Calibri" w:hAnsi="Calibri" w:cs="Calibri"/>
          <w:b/>
          <w:bCs/>
          <w:sz w:val="22"/>
          <w:szCs w:val="22"/>
          <w:lang w:eastAsia="pt-BR"/>
        </w:rPr>
        <w:t>Termo de Referência</w:t>
      </w:r>
      <w:r w:rsidR="002F09C3" w:rsidRPr="008B16AC">
        <w:rPr>
          <w:rFonts w:ascii="Calibri" w:hAnsi="Calibri" w:cs="Calibri"/>
          <w:sz w:val="22"/>
          <w:szCs w:val="22"/>
          <w:lang w:eastAsia="pt-BR"/>
        </w:rPr>
        <w:t>,</w:t>
      </w:r>
      <w:r w:rsidR="002F09C3" w:rsidRPr="00E04F96">
        <w:rPr>
          <w:rFonts w:ascii="Calibri" w:hAnsi="Calibri" w:cs="Calibri"/>
          <w:sz w:val="22"/>
          <w:szCs w:val="22"/>
          <w:lang w:eastAsia="pt-BR"/>
        </w:rPr>
        <w:t xml:space="preserve"> </w:t>
      </w:r>
      <w:r w:rsidRPr="00E04F96">
        <w:rPr>
          <w:rFonts w:ascii="Calibri" w:hAnsi="Calibri" w:cs="Calibri"/>
          <w:sz w:val="22"/>
          <w:szCs w:val="22"/>
          <w:lang w:eastAsia="pt-BR"/>
        </w:rPr>
        <w:t xml:space="preserve">que está </w:t>
      </w:r>
      <w:r w:rsidR="002B4909" w:rsidRPr="00E04F96">
        <w:rPr>
          <w:rFonts w:ascii="Calibri" w:hAnsi="Calibri" w:cs="Calibri"/>
          <w:sz w:val="22"/>
          <w:szCs w:val="22"/>
          <w:lang w:eastAsia="pt-BR"/>
        </w:rPr>
        <w:t>baseado em pesquisa de mercado</w:t>
      </w:r>
      <w:r w:rsidR="00E04F96" w:rsidRPr="00E04F96">
        <w:rPr>
          <w:rFonts w:ascii="Calibri" w:hAnsi="Calibri" w:cs="Calibri"/>
          <w:sz w:val="22"/>
          <w:szCs w:val="22"/>
          <w:lang w:eastAsia="pt-BR"/>
        </w:rPr>
        <w:t>,</w:t>
      </w:r>
      <w:r w:rsidR="00B4165E" w:rsidRPr="00E04F96">
        <w:rPr>
          <w:rFonts w:ascii="Calibri" w:hAnsi="Calibri" w:cs="Calibri"/>
          <w:sz w:val="22"/>
          <w:szCs w:val="22"/>
          <w:lang w:eastAsia="pt-BR"/>
        </w:rPr>
        <w:t xml:space="preserve"> preços públicos</w:t>
      </w:r>
      <w:r w:rsidR="002B4909" w:rsidRPr="00E04F96">
        <w:rPr>
          <w:rFonts w:ascii="Calibri" w:hAnsi="Calibri" w:cs="Calibri"/>
          <w:sz w:val="22"/>
          <w:szCs w:val="22"/>
          <w:lang w:eastAsia="pt-BR"/>
        </w:rPr>
        <w:t xml:space="preserve">, </w:t>
      </w:r>
      <w:r w:rsidR="00E04F96" w:rsidRPr="00E04F96">
        <w:rPr>
          <w:rFonts w:ascii="Calibri" w:hAnsi="Calibri" w:cs="Calibri"/>
          <w:sz w:val="22"/>
          <w:szCs w:val="22"/>
          <w:lang w:eastAsia="pt-BR"/>
        </w:rPr>
        <w:t xml:space="preserve">tabela de serviços e insumos da </w:t>
      </w:r>
      <w:r w:rsidR="00E04F96" w:rsidRPr="00116B28">
        <w:rPr>
          <w:rFonts w:ascii="Calibri" w:hAnsi="Calibri" w:cs="Calibri"/>
          <w:b/>
          <w:bCs/>
          <w:sz w:val="22"/>
          <w:szCs w:val="22"/>
          <w:lang w:eastAsia="pt-BR"/>
        </w:rPr>
        <w:t>SINAPI-CE, SINFRA-CE e ORSE</w:t>
      </w:r>
      <w:r w:rsidR="00E04F96" w:rsidRPr="00E04F96">
        <w:rPr>
          <w:rFonts w:ascii="Calibri" w:hAnsi="Calibri" w:cs="Calibri"/>
          <w:sz w:val="22"/>
          <w:szCs w:val="22"/>
          <w:lang w:eastAsia="pt-BR"/>
        </w:rPr>
        <w:t xml:space="preserve">, com todas as informações e códigos descritos na planilha, o que cria um parâmetro confiável quanto aos custos dos serviços a serem licitados, nos termos da </w:t>
      </w:r>
      <w:r w:rsidR="00E04F96" w:rsidRPr="00372A86">
        <w:rPr>
          <w:rFonts w:ascii="Calibri" w:hAnsi="Calibri" w:cs="Calibri"/>
          <w:b/>
          <w:bCs/>
          <w:sz w:val="22"/>
          <w:szCs w:val="22"/>
          <w:lang w:eastAsia="pt-BR"/>
        </w:rPr>
        <w:t>Lei 14.133/21</w:t>
      </w:r>
      <w:r w:rsidR="00116B28">
        <w:rPr>
          <w:rFonts w:ascii="Calibri" w:hAnsi="Calibri" w:cs="Calibri"/>
          <w:b/>
          <w:bCs/>
          <w:sz w:val="22"/>
          <w:szCs w:val="22"/>
          <w:lang w:eastAsia="pt-BR"/>
        </w:rPr>
        <w:t>.</w:t>
      </w:r>
    </w:p>
    <w:p w14:paraId="6F135C82" w14:textId="77777777" w:rsidR="00AD3756" w:rsidRDefault="00AD3756" w:rsidP="00CB73C7">
      <w:pPr>
        <w:autoSpaceDN/>
        <w:spacing w:line="276" w:lineRule="auto"/>
        <w:ind w:left="284"/>
        <w:jc w:val="both"/>
        <w:textAlignment w:val="auto"/>
        <w:rPr>
          <w:rFonts w:ascii="Calibri" w:hAnsi="Calibri" w:cs="Calibri"/>
          <w:b/>
          <w:bCs/>
          <w:sz w:val="22"/>
          <w:szCs w:val="22"/>
          <w:lang w:eastAsia="pt-BR"/>
        </w:rPr>
      </w:pPr>
    </w:p>
    <w:p w14:paraId="3C9777B8" w14:textId="20E0621C" w:rsidR="00AD3756" w:rsidRDefault="00AD3756" w:rsidP="00CB73C7">
      <w:pPr>
        <w:autoSpaceDN/>
        <w:spacing w:line="276" w:lineRule="auto"/>
        <w:ind w:left="284"/>
        <w:jc w:val="both"/>
        <w:textAlignment w:val="auto"/>
        <w:rPr>
          <w:rFonts w:ascii="Calibri" w:hAnsi="Calibri" w:cs="Calibri"/>
          <w:color w:val="EE0000"/>
          <w:sz w:val="22"/>
          <w:szCs w:val="22"/>
          <w:lang w:eastAsia="pt-BR"/>
        </w:rPr>
      </w:pPr>
      <w:r w:rsidRPr="00AD3756">
        <w:rPr>
          <w:rFonts w:ascii="Calibri" w:hAnsi="Calibri" w:cs="Calibri"/>
          <w:color w:val="EE0000"/>
          <w:sz w:val="22"/>
          <w:szCs w:val="22"/>
          <w:lang w:eastAsia="pt-BR"/>
        </w:rPr>
        <w:t xml:space="preserve">Em cumprimento ao princípio da exatidão dos custos estimados, a precificação global considerou o enquadramento tributário diferenciado para a formação dos respectivos </w:t>
      </w:r>
      <w:proofErr w:type="spellStart"/>
      <w:r w:rsidRPr="00AD3756">
        <w:rPr>
          <w:rFonts w:ascii="Calibri" w:hAnsi="Calibri" w:cs="Calibri"/>
          <w:color w:val="EE0000"/>
          <w:sz w:val="22"/>
          <w:szCs w:val="22"/>
          <w:lang w:eastAsia="pt-BR"/>
        </w:rPr>
        <w:t>BDIs</w:t>
      </w:r>
      <w:proofErr w:type="spellEnd"/>
      <w:r w:rsidRPr="00AD3756">
        <w:rPr>
          <w:rFonts w:ascii="Calibri" w:hAnsi="Calibri" w:cs="Calibri"/>
          <w:color w:val="EE0000"/>
          <w:sz w:val="22"/>
          <w:szCs w:val="22"/>
          <w:lang w:eastAsia="pt-BR"/>
        </w:rPr>
        <w:t>. Para o fornecimento de equipamentos, adot</w:t>
      </w:r>
      <w:r w:rsidR="00D75D42">
        <w:rPr>
          <w:rFonts w:ascii="Calibri" w:hAnsi="Calibri" w:cs="Calibri"/>
          <w:color w:val="EE0000"/>
          <w:sz w:val="22"/>
          <w:szCs w:val="22"/>
          <w:lang w:eastAsia="pt-BR"/>
        </w:rPr>
        <w:t>ou</w:t>
      </w:r>
      <w:r w:rsidRPr="00AD3756">
        <w:rPr>
          <w:rFonts w:ascii="Calibri" w:hAnsi="Calibri" w:cs="Calibri"/>
          <w:color w:val="EE0000"/>
          <w:sz w:val="22"/>
          <w:szCs w:val="22"/>
          <w:lang w:eastAsia="pt-BR"/>
        </w:rPr>
        <w:t xml:space="preserve">-se o regime estadual do ICMS via SEFAZ-CE </w:t>
      </w:r>
      <w:r>
        <w:rPr>
          <w:rFonts w:ascii="Calibri" w:hAnsi="Calibri" w:cs="Calibri"/>
          <w:color w:val="EE0000"/>
          <w:sz w:val="22"/>
          <w:szCs w:val="22"/>
          <w:lang w:eastAsia="pt-BR"/>
        </w:rPr>
        <w:t>com nota fiscal de venda de mercadoria para os equipamentos de climatização</w:t>
      </w:r>
      <w:r w:rsidRPr="00AD3756">
        <w:rPr>
          <w:rFonts w:ascii="Calibri" w:hAnsi="Calibri" w:cs="Calibri"/>
          <w:color w:val="EE0000"/>
          <w:sz w:val="22"/>
          <w:szCs w:val="22"/>
          <w:lang w:eastAsia="pt-BR"/>
        </w:rPr>
        <w:t>, aplicando-se o BDI reduzido de 18,70%. Para a infraestrutura e instalação, adot</w:t>
      </w:r>
      <w:r w:rsidR="00D75D42">
        <w:rPr>
          <w:rFonts w:ascii="Calibri" w:hAnsi="Calibri" w:cs="Calibri"/>
          <w:color w:val="EE0000"/>
          <w:sz w:val="22"/>
          <w:szCs w:val="22"/>
          <w:lang w:eastAsia="pt-BR"/>
        </w:rPr>
        <w:t>ou</w:t>
      </w:r>
      <w:r w:rsidRPr="00AD3756">
        <w:rPr>
          <w:rFonts w:ascii="Calibri" w:hAnsi="Calibri" w:cs="Calibri"/>
          <w:color w:val="EE0000"/>
          <w:sz w:val="22"/>
          <w:szCs w:val="22"/>
          <w:lang w:eastAsia="pt-BR"/>
        </w:rPr>
        <w:t xml:space="preserve">-se o enquadramento sob o subitem </w:t>
      </w:r>
      <w:r>
        <w:rPr>
          <w:rFonts w:ascii="Calibri" w:hAnsi="Calibri" w:cs="Calibri"/>
          <w:color w:val="EE0000"/>
          <w:sz w:val="22"/>
          <w:szCs w:val="22"/>
          <w:lang w:eastAsia="pt-BR"/>
        </w:rPr>
        <w:t xml:space="preserve">de serviços </w:t>
      </w:r>
      <w:r w:rsidRPr="00AD3756">
        <w:rPr>
          <w:rFonts w:ascii="Calibri" w:hAnsi="Calibri" w:cs="Calibri"/>
          <w:color w:val="EE0000"/>
          <w:sz w:val="22"/>
          <w:szCs w:val="22"/>
          <w:lang w:eastAsia="pt-BR"/>
        </w:rPr>
        <w:t xml:space="preserve">14.06 da LC nº 116/03, a CNAE 4322-3/02 e o código municipal 14.06/432230203 (SEFIN Fortaleza), vedando-se deduções de materiais na base de cálculo do ISS e aplicando-se os </w:t>
      </w:r>
      <w:proofErr w:type="spellStart"/>
      <w:r w:rsidRPr="00AD3756">
        <w:rPr>
          <w:rFonts w:ascii="Calibri" w:hAnsi="Calibri" w:cs="Calibri"/>
          <w:color w:val="EE0000"/>
          <w:sz w:val="22"/>
          <w:szCs w:val="22"/>
          <w:lang w:eastAsia="pt-BR"/>
        </w:rPr>
        <w:t>BDIs</w:t>
      </w:r>
      <w:proofErr w:type="spellEnd"/>
      <w:r w:rsidRPr="00AD3756">
        <w:rPr>
          <w:rFonts w:ascii="Calibri" w:hAnsi="Calibri" w:cs="Calibri"/>
          <w:color w:val="EE0000"/>
          <w:sz w:val="22"/>
          <w:szCs w:val="22"/>
          <w:lang w:eastAsia="pt-BR"/>
        </w:rPr>
        <w:t xml:space="preserve"> de serviços correspondentes às alíquotas oficiais (3%, 4% e 5%) dos 15 municípios executores, garantindo a perfeita aderência orçamentária exigida pela Lei nº 14.133/2021.</w:t>
      </w:r>
    </w:p>
    <w:p w14:paraId="1FBE5583" w14:textId="77777777" w:rsidR="00D60B12" w:rsidRDefault="00D60B12" w:rsidP="00CB73C7">
      <w:pPr>
        <w:autoSpaceDN/>
        <w:spacing w:line="276" w:lineRule="auto"/>
        <w:ind w:left="284"/>
        <w:jc w:val="both"/>
        <w:textAlignment w:val="auto"/>
        <w:rPr>
          <w:rFonts w:ascii="Calibri" w:hAnsi="Calibri" w:cs="Calibri"/>
          <w:color w:val="EE0000"/>
          <w:sz w:val="22"/>
          <w:szCs w:val="22"/>
          <w:lang w:eastAsia="pt-BR"/>
        </w:rPr>
      </w:pPr>
    </w:p>
    <w:p w14:paraId="22699023" w14:textId="21E133F0" w:rsidR="00D60B12" w:rsidRPr="00AD3756" w:rsidRDefault="00D60B12" w:rsidP="00CB73C7">
      <w:pPr>
        <w:autoSpaceDN/>
        <w:spacing w:line="276" w:lineRule="auto"/>
        <w:ind w:left="284"/>
        <w:jc w:val="both"/>
        <w:textAlignment w:val="auto"/>
        <w:rPr>
          <w:rFonts w:ascii="Calibri" w:hAnsi="Calibri" w:cs="Calibri"/>
          <w:color w:val="EE0000"/>
          <w:sz w:val="22"/>
          <w:szCs w:val="22"/>
          <w:lang w:eastAsia="pt-BR"/>
        </w:rPr>
      </w:pPr>
      <w:r w:rsidRPr="00D60B12">
        <w:rPr>
          <w:rFonts w:ascii="Calibri" w:hAnsi="Calibri" w:cs="Calibri"/>
          <w:color w:val="EE0000"/>
          <w:sz w:val="22"/>
          <w:szCs w:val="22"/>
          <w:lang w:eastAsia="pt-BR"/>
        </w:rPr>
        <w:t>Como salvaguarda de governança para o edital, estabeleceu-se que caso o licitante vencedor seja sediado em outro município (que não Fortaleza) ou em outro estado da federação (fora do âmbito da SEFAZ/CE), este deverá obrigatoriamente apresentar à Administração, para avaliação e homologação prévia à assinatura do contrato, a exata correspondência e comprovação de sua respectiva tributação de ISS e as alíquotas interestaduais de ICMS aplicáveis à sua origem, garantindo que o teto do BDI contratado não supere a real carga tributária da empresa.</w:t>
      </w:r>
    </w:p>
    <w:p w14:paraId="31BA4EEA" w14:textId="77777777" w:rsidR="00CB73C7" w:rsidRDefault="00CB73C7" w:rsidP="00CB73C7">
      <w:pPr>
        <w:autoSpaceDN/>
        <w:spacing w:line="276" w:lineRule="auto"/>
        <w:ind w:left="284"/>
        <w:jc w:val="both"/>
        <w:textAlignment w:val="auto"/>
        <w:rPr>
          <w:rFonts w:ascii="Calibri" w:hAnsi="Calibri" w:cs="Calibri"/>
          <w:sz w:val="22"/>
          <w:szCs w:val="22"/>
          <w:lang w:eastAsia="pt-BR"/>
        </w:rPr>
      </w:pPr>
    </w:p>
    <w:p w14:paraId="6E425222" w14:textId="3070D5DC" w:rsidR="00065A55" w:rsidRPr="008D2646" w:rsidRDefault="00C03703" w:rsidP="00D87A29">
      <w:pPr>
        <w:numPr>
          <w:ilvl w:val="0"/>
          <w:numId w:val="43"/>
        </w:numPr>
        <w:autoSpaceDN/>
        <w:spacing w:line="276" w:lineRule="auto"/>
        <w:ind w:left="284" w:hanging="284"/>
        <w:jc w:val="both"/>
        <w:textAlignment w:val="auto"/>
        <w:rPr>
          <w:rFonts w:ascii="Calibri" w:hAnsi="Calibri" w:cs="Calibri"/>
          <w:sz w:val="22"/>
          <w:szCs w:val="22"/>
        </w:rPr>
      </w:pPr>
      <w:r w:rsidRPr="008C3864">
        <w:rPr>
          <w:rFonts w:ascii="Calibri" w:hAnsi="Calibri" w:cs="Calibri"/>
          <w:b/>
          <w:bCs/>
          <w:sz w:val="22"/>
          <w:szCs w:val="22"/>
        </w:rPr>
        <w:lastRenderedPageBreak/>
        <w:t>JUSTIFICATIVA PARA O PARCELAMENTO OU NÃO DA SOLUÇÃO</w:t>
      </w:r>
      <w:r w:rsidR="0069522A" w:rsidRPr="008C3864">
        <w:rPr>
          <w:rFonts w:ascii="Calibri" w:hAnsi="Calibri" w:cs="Calibri"/>
          <w:b/>
          <w:sz w:val="22"/>
          <w:szCs w:val="22"/>
        </w:rPr>
        <w:t>:</w:t>
      </w:r>
      <w:r w:rsidR="00693487" w:rsidRPr="008C3864">
        <w:rPr>
          <w:rFonts w:ascii="Calibri" w:hAnsi="Calibri" w:cs="Calibri"/>
          <w:b/>
          <w:sz w:val="22"/>
          <w:szCs w:val="22"/>
        </w:rPr>
        <w:t xml:space="preserve"> </w:t>
      </w:r>
    </w:p>
    <w:p w14:paraId="6B1F3E24" w14:textId="77777777" w:rsidR="005B0965" w:rsidRPr="005B0965" w:rsidRDefault="005B0965" w:rsidP="005B0965">
      <w:pPr>
        <w:autoSpaceDN/>
        <w:spacing w:line="276" w:lineRule="auto"/>
        <w:ind w:left="284"/>
        <w:jc w:val="both"/>
        <w:textAlignment w:val="auto"/>
        <w:rPr>
          <w:rFonts w:ascii="Calibri" w:hAnsi="Calibri" w:cs="Calibri"/>
          <w:sz w:val="22"/>
          <w:szCs w:val="22"/>
          <w:lang w:eastAsia="pt-BR"/>
        </w:rPr>
      </w:pPr>
      <w:r w:rsidRPr="005B0965">
        <w:rPr>
          <w:rFonts w:ascii="Calibri" w:hAnsi="Calibri" w:cs="Calibri"/>
          <w:sz w:val="22"/>
          <w:szCs w:val="22"/>
          <w:lang w:eastAsia="pt-BR"/>
        </w:rPr>
        <w:t xml:space="preserve">A opção pelo não parcelamento do objeto, integrando o fornecimento dos aparelhos à execução dos serviços de infraestrutura e instalação, fundamenta-se na </w:t>
      </w:r>
      <w:r w:rsidRPr="005B0965">
        <w:rPr>
          <w:rFonts w:ascii="Calibri" w:hAnsi="Calibri" w:cs="Calibri"/>
          <w:b/>
          <w:bCs/>
          <w:sz w:val="22"/>
          <w:szCs w:val="22"/>
          <w:lang w:eastAsia="pt-BR"/>
        </w:rPr>
        <w:t>interdependência técnica</w:t>
      </w:r>
      <w:r w:rsidRPr="005B0965">
        <w:rPr>
          <w:rFonts w:ascii="Calibri" w:hAnsi="Calibri" w:cs="Calibri"/>
          <w:sz w:val="22"/>
          <w:szCs w:val="22"/>
          <w:lang w:eastAsia="pt-BR"/>
        </w:rPr>
        <w:t xml:space="preserve"> e na necessidade de garantir a integridade da garantia. A execução envolve a desinstalação de unidades obsoletas e a adequação de redes frigorígenas compartilhadas, o que torna técnica e economicamente ineficiente a segmentação do objeto entre diferentes fornecedores. A unificação assegura a </w:t>
      </w:r>
      <w:r w:rsidRPr="005B0965">
        <w:rPr>
          <w:rFonts w:ascii="Calibri" w:hAnsi="Calibri" w:cs="Calibri"/>
          <w:b/>
          <w:bCs/>
          <w:sz w:val="22"/>
          <w:szCs w:val="22"/>
          <w:lang w:eastAsia="pt-BR"/>
        </w:rPr>
        <w:t>responsabilidade única</w:t>
      </w:r>
      <w:r w:rsidRPr="005B0965">
        <w:rPr>
          <w:rFonts w:ascii="Calibri" w:hAnsi="Calibri" w:cs="Calibri"/>
          <w:sz w:val="22"/>
          <w:szCs w:val="22"/>
          <w:lang w:eastAsia="pt-BR"/>
        </w:rPr>
        <w:t xml:space="preserve"> sobre o funcionamento do sistema, evitando conflitos de atribuição entre fabricante e instalador em casos de falhas ou defeitos.</w:t>
      </w:r>
    </w:p>
    <w:p w14:paraId="289FE86F" w14:textId="77777777" w:rsidR="005B0965" w:rsidRPr="005B0965" w:rsidRDefault="005B0965" w:rsidP="005B0965">
      <w:pPr>
        <w:autoSpaceDN/>
        <w:spacing w:line="276" w:lineRule="auto"/>
        <w:ind w:left="284"/>
        <w:jc w:val="both"/>
        <w:textAlignment w:val="auto"/>
        <w:rPr>
          <w:rFonts w:ascii="Calibri" w:hAnsi="Calibri" w:cs="Calibri"/>
          <w:sz w:val="22"/>
          <w:szCs w:val="22"/>
          <w:lang w:eastAsia="pt-BR"/>
        </w:rPr>
      </w:pPr>
    </w:p>
    <w:p w14:paraId="69256480" w14:textId="19A4BFD2" w:rsidR="007B0F40" w:rsidRDefault="005B0965" w:rsidP="005B0965">
      <w:pPr>
        <w:autoSpaceDN/>
        <w:spacing w:line="276" w:lineRule="auto"/>
        <w:ind w:left="284"/>
        <w:jc w:val="both"/>
        <w:textAlignment w:val="auto"/>
        <w:rPr>
          <w:rFonts w:ascii="Calibri" w:hAnsi="Calibri" w:cs="Calibri"/>
          <w:sz w:val="22"/>
          <w:szCs w:val="22"/>
          <w:lang w:eastAsia="pt-BR"/>
        </w:rPr>
      </w:pPr>
      <w:r w:rsidRPr="005B0965">
        <w:rPr>
          <w:rFonts w:ascii="Calibri" w:hAnsi="Calibri" w:cs="Calibri"/>
          <w:sz w:val="22"/>
          <w:szCs w:val="22"/>
          <w:lang w:eastAsia="pt-BR"/>
        </w:rPr>
        <w:t>Ademais, a centralização da execução em uma única contratada otimiza a economia de escala e simplifica a gestão e fiscalização do contrato por parte do Tribunal. Sob o prisma da participação de Micro e Pequenas Empresas, entende-se inviável a reserva de cota de até 25%, uma vez que a fragmentação da solução comprometeria a padronização técnica, a celeridade das substituições e a eficiência operacional da Coordenadoria de Manutenção, conforme facultado pelo art. 49, inciso II, da Lei Complementar nº 123/2006.</w:t>
      </w:r>
    </w:p>
    <w:p w14:paraId="7CF6C309" w14:textId="77777777" w:rsidR="0038211C" w:rsidRDefault="0038211C" w:rsidP="005B0965">
      <w:pPr>
        <w:autoSpaceDN/>
        <w:spacing w:line="276" w:lineRule="auto"/>
        <w:ind w:left="284"/>
        <w:jc w:val="both"/>
        <w:textAlignment w:val="auto"/>
        <w:rPr>
          <w:rFonts w:ascii="Calibri" w:hAnsi="Calibri" w:cs="Calibri"/>
          <w:sz w:val="22"/>
          <w:szCs w:val="22"/>
          <w:lang w:eastAsia="pt-BR"/>
        </w:rPr>
      </w:pPr>
    </w:p>
    <w:p w14:paraId="373F8BA6" w14:textId="77777777" w:rsidR="00EF6DD1" w:rsidRPr="00FA061A" w:rsidRDefault="00C03703" w:rsidP="00D87A29">
      <w:pPr>
        <w:numPr>
          <w:ilvl w:val="0"/>
          <w:numId w:val="43"/>
        </w:numPr>
        <w:autoSpaceDN/>
        <w:spacing w:line="276" w:lineRule="auto"/>
        <w:jc w:val="both"/>
        <w:textAlignment w:val="auto"/>
        <w:rPr>
          <w:rFonts w:ascii="Calibri" w:hAnsi="Calibri" w:cs="Calibri"/>
          <w:b/>
          <w:bCs/>
          <w:sz w:val="22"/>
          <w:szCs w:val="22"/>
        </w:rPr>
      </w:pPr>
      <w:r>
        <w:rPr>
          <w:rFonts w:ascii="Calibri" w:hAnsi="Calibri" w:cs="Calibri"/>
          <w:b/>
          <w:bCs/>
          <w:sz w:val="22"/>
          <w:szCs w:val="22"/>
        </w:rPr>
        <w:t>CONTRATAÇÕES CORRELATAS E/OU INTERDEPENDENTES:</w:t>
      </w:r>
      <w:r w:rsidRPr="00AC37DC">
        <w:rPr>
          <w:rFonts w:ascii="Calibri" w:hAnsi="Calibri" w:cs="Calibri"/>
          <w:sz w:val="22"/>
          <w:szCs w:val="22"/>
          <w:lang w:eastAsia="pt-BR"/>
        </w:rPr>
        <w:t xml:space="preserve"> </w:t>
      </w:r>
    </w:p>
    <w:p w14:paraId="58BBD39C" w14:textId="1BDD315B" w:rsidR="00C03703" w:rsidRPr="00A342BD" w:rsidRDefault="004A05F9" w:rsidP="00250217">
      <w:pPr>
        <w:autoSpaceDN/>
        <w:spacing w:line="276" w:lineRule="auto"/>
        <w:ind w:left="284"/>
        <w:jc w:val="both"/>
        <w:textAlignment w:val="auto"/>
        <w:rPr>
          <w:rFonts w:ascii="Calibri" w:hAnsi="Calibri" w:cs="Calibri"/>
          <w:b/>
          <w:bCs/>
          <w:sz w:val="22"/>
          <w:szCs w:val="22"/>
        </w:rPr>
      </w:pPr>
      <w:r w:rsidRPr="00AC37DC">
        <w:rPr>
          <w:rFonts w:ascii="Calibri" w:hAnsi="Calibri" w:cs="Calibri"/>
          <w:sz w:val="22"/>
          <w:szCs w:val="22"/>
          <w:lang w:eastAsia="pt-BR"/>
        </w:rPr>
        <w:t>Não existem</w:t>
      </w:r>
      <w:r w:rsidR="00C03703" w:rsidRPr="00AC37DC">
        <w:rPr>
          <w:rFonts w:ascii="Calibri" w:hAnsi="Calibri" w:cs="Calibri"/>
          <w:sz w:val="22"/>
          <w:szCs w:val="22"/>
          <w:lang w:eastAsia="pt-BR"/>
        </w:rPr>
        <w:t xml:space="preserve"> contratações</w:t>
      </w:r>
      <w:r w:rsidRPr="00AC37DC">
        <w:rPr>
          <w:rFonts w:ascii="Calibri" w:hAnsi="Calibri" w:cs="Calibri"/>
          <w:sz w:val="22"/>
          <w:szCs w:val="22"/>
          <w:lang w:eastAsia="pt-BR"/>
        </w:rPr>
        <w:t xml:space="preserve"> correlatas ou interdependentes</w:t>
      </w:r>
      <w:r w:rsidR="00C03703" w:rsidRPr="00AC37DC">
        <w:rPr>
          <w:rFonts w:ascii="Calibri" w:hAnsi="Calibri" w:cs="Calibri"/>
          <w:sz w:val="22"/>
          <w:szCs w:val="22"/>
          <w:lang w:eastAsia="pt-BR"/>
        </w:rPr>
        <w:t>.</w:t>
      </w:r>
    </w:p>
    <w:p w14:paraId="38B1FAB0" w14:textId="77777777" w:rsidR="00A342BD" w:rsidRDefault="00A342BD" w:rsidP="00250217">
      <w:pPr>
        <w:autoSpaceDN/>
        <w:spacing w:line="276" w:lineRule="auto"/>
        <w:ind w:left="360"/>
        <w:jc w:val="both"/>
        <w:textAlignment w:val="auto"/>
        <w:rPr>
          <w:rFonts w:ascii="Calibri" w:hAnsi="Calibri" w:cs="Calibri"/>
          <w:b/>
          <w:bCs/>
          <w:sz w:val="22"/>
          <w:szCs w:val="22"/>
        </w:rPr>
      </w:pPr>
    </w:p>
    <w:p w14:paraId="5A8A38DD" w14:textId="77777777" w:rsidR="00EF6DD1" w:rsidRPr="00FA061A" w:rsidRDefault="00B3096E" w:rsidP="00D87A29">
      <w:pPr>
        <w:numPr>
          <w:ilvl w:val="0"/>
          <w:numId w:val="43"/>
        </w:numPr>
        <w:autoSpaceDN/>
        <w:spacing w:line="276" w:lineRule="auto"/>
        <w:jc w:val="both"/>
        <w:textAlignment w:val="auto"/>
        <w:rPr>
          <w:rFonts w:ascii="Calibri" w:hAnsi="Calibri" w:cs="Calibri"/>
          <w:sz w:val="22"/>
          <w:szCs w:val="22"/>
        </w:rPr>
      </w:pPr>
      <w:r w:rsidRPr="00B3096E">
        <w:rPr>
          <w:rFonts w:ascii="Calibri" w:hAnsi="Calibri" w:cs="Calibri"/>
          <w:b/>
          <w:sz w:val="22"/>
          <w:szCs w:val="22"/>
        </w:rPr>
        <w:t xml:space="preserve">ALINHAMENTO ENTRE A CONTRATAÇÃO E O PLANEJAMENTO ESTRATÉGICO DO ÓRGÃO: </w:t>
      </w:r>
    </w:p>
    <w:p w14:paraId="112495D8" w14:textId="77777777" w:rsidR="003E691C" w:rsidRDefault="00B3096E" w:rsidP="00250217">
      <w:pPr>
        <w:autoSpaceDN/>
        <w:spacing w:line="276" w:lineRule="auto"/>
        <w:ind w:left="284"/>
        <w:jc w:val="both"/>
        <w:textAlignment w:val="auto"/>
        <w:rPr>
          <w:rFonts w:ascii="Calibri" w:hAnsi="Calibri" w:cs="Calibri"/>
          <w:sz w:val="22"/>
          <w:szCs w:val="22"/>
        </w:rPr>
      </w:pPr>
      <w:r w:rsidRPr="00EF6DD1">
        <w:rPr>
          <w:rFonts w:ascii="Calibri" w:hAnsi="Calibri" w:cs="Calibri"/>
          <w:sz w:val="22"/>
          <w:szCs w:val="22"/>
        </w:rPr>
        <w:t xml:space="preserve">Esta contratação atende ao disposto no </w:t>
      </w:r>
      <w:r w:rsidRPr="00EF6DD1">
        <w:rPr>
          <w:rFonts w:ascii="Calibri" w:hAnsi="Calibri" w:cs="Calibri"/>
          <w:b/>
          <w:bCs/>
          <w:sz w:val="22"/>
          <w:szCs w:val="22"/>
        </w:rPr>
        <w:t>Planejamento Estratégico 2021-2026</w:t>
      </w:r>
      <w:r w:rsidRPr="00EF6DD1">
        <w:rPr>
          <w:rFonts w:ascii="Calibri" w:hAnsi="Calibri" w:cs="Calibri"/>
          <w:sz w:val="22"/>
          <w:szCs w:val="22"/>
        </w:rPr>
        <w:t xml:space="preserve"> deste Regional, aprovado pelo </w:t>
      </w:r>
      <w:hyperlink r:id="rId8" w:history="1">
        <w:r w:rsidRPr="00EF6DD1">
          <w:rPr>
            <w:rFonts w:ascii="Calibri" w:hAnsi="Calibri" w:cs="Calibri"/>
            <w:b/>
            <w:bCs/>
            <w:sz w:val="22"/>
            <w:szCs w:val="22"/>
          </w:rPr>
          <w:t>Ato TRT7.GP nº 64/2021</w:t>
        </w:r>
      </w:hyperlink>
      <w:r w:rsidRPr="00EF6DD1">
        <w:rPr>
          <w:rFonts w:ascii="Calibri" w:hAnsi="Calibri" w:cs="Calibri"/>
          <w:sz w:val="22"/>
          <w:szCs w:val="22"/>
        </w:rPr>
        <w:t xml:space="preserve">, </w:t>
      </w:r>
      <w:r w:rsidR="00E82362">
        <w:rPr>
          <w:rFonts w:ascii="Calibri" w:hAnsi="Calibri" w:cs="Calibri"/>
          <w:sz w:val="22"/>
          <w:szCs w:val="22"/>
        </w:rPr>
        <w:t>especificamente aos</w:t>
      </w:r>
      <w:r w:rsidR="00E82362" w:rsidRPr="00E82362">
        <w:rPr>
          <w:rFonts w:ascii="Calibri" w:hAnsi="Calibri" w:cs="Calibri"/>
          <w:sz w:val="22"/>
          <w:szCs w:val="22"/>
        </w:rPr>
        <w:t xml:space="preserve"> </w:t>
      </w:r>
      <w:r w:rsidR="00E82362" w:rsidRPr="00E82362">
        <w:rPr>
          <w:rFonts w:ascii="Calibri" w:hAnsi="Calibri" w:cs="Calibri"/>
          <w:b/>
          <w:bCs/>
          <w:sz w:val="22"/>
          <w:szCs w:val="22"/>
        </w:rPr>
        <w:t>Objetivos Estratégicos nº 2 e 7 do TRT 7ª Região</w:t>
      </w:r>
      <w:r w:rsidR="00E82362" w:rsidRPr="00E82362">
        <w:rPr>
          <w:rFonts w:ascii="Calibri" w:hAnsi="Calibri" w:cs="Calibri"/>
          <w:sz w:val="22"/>
          <w:szCs w:val="22"/>
        </w:rPr>
        <w:t xml:space="preserve"> </w:t>
      </w:r>
      <w:r w:rsidR="00E82362">
        <w:rPr>
          <w:rFonts w:ascii="Calibri" w:hAnsi="Calibri" w:cs="Calibri"/>
          <w:sz w:val="22"/>
          <w:szCs w:val="22"/>
        </w:rPr>
        <w:t xml:space="preserve">que </w:t>
      </w:r>
      <w:r w:rsidR="00E82362" w:rsidRPr="00E82362">
        <w:rPr>
          <w:rFonts w:ascii="Calibri" w:hAnsi="Calibri" w:cs="Calibri"/>
          <w:sz w:val="22"/>
          <w:szCs w:val="22"/>
        </w:rPr>
        <w:t>são: "</w:t>
      </w:r>
      <w:r w:rsidR="00E82362" w:rsidRPr="00E82362">
        <w:rPr>
          <w:rFonts w:ascii="Calibri" w:hAnsi="Calibri" w:cs="Calibri"/>
          <w:b/>
          <w:bCs/>
          <w:i/>
          <w:iCs/>
          <w:sz w:val="22"/>
          <w:szCs w:val="22"/>
        </w:rPr>
        <w:t>Promover o Trabalho Decente e a Sustentabilidade</w:t>
      </w:r>
      <w:r w:rsidR="00E82362" w:rsidRPr="00E82362">
        <w:rPr>
          <w:rFonts w:ascii="Calibri" w:hAnsi="Calibri" w:cs="Calibri"/>
          <w:sz w:val="22"/>
          <w:szCs w:val="22"/>
        </w:rPr>
        <w:t>" e "</w:t>
      </w:r>
      <w:r w:rsidR="00E82362" w:rsidRPr="00E82362">
        <w:rPr>
          <w:rFonts w:ascii="Calibri" w:hAnsi="Calibri" w:cs="Calibri"/>
          <w:b/>
          <w:bCs/>
          <w:i/>
          <w:iCs/>
          <w:sz w:val="22"/>
          <w:szCs w:val="22"/>
        </w:rPr>
        <w:t>Fortalecer a Governança e a Gestão Estratégica</w:t>
      </w:r>
      <w:r w:rsidR="00E82362" w:rsidRPr="00E82362">
        <w:rPr>
          <w:rFonts w:ascii="Calibri" w:hAnsi="Calibri" w:cs="Calibri"/>
          <w:sz w:val="22"/>
          <w:szCs w:val="22"/>
        </w:rPr>
        <w:t>", respectivamente</w:t>
      </w:r>
      <w:r w:rsidR="00E82362">
        <w:rPr>
          <w:rFonts w:ascii="Calibri" w:hAnsi="Calibri" w:cs="Calibri"/>
          <w:sz w:val="22"/>
          <w:szCs w:val="22"/>
        </w:rPr>
        <w:t>.</w:t>
      </w:r>
      <w:r w:rsidR="00472FCF">
        <w:rPr>
          <w:rFonts w:ascii="Calibri" w:hAnsi="Calibri" w:cs="Calibri"/>
          <w:sz w:val="22"/>
          <w:szCs w:val="22"/>
        </w:rPr>
        <w:t xml:space="preserve"> </w:t>
      </w:r>
    </w:p>
    <w:p w14:paraId="6A201002" w14:textId="77777777" w:rsidR="004A2597" w:rsidRDefault="004A2597" w:rsidP="00250217">
      <w:pPr>
        <w:autoSpaceDN/>
        <w:spacing w:line="276" w:lineRule="auto"/>
        <w:ind w:left="284"/>
        <w:jc w:val="both"/>
        <w:textAlignment w:val="auto"/>
        <w:rPr>
          <w:rFonts w:ascii="Calibri" w:hAnsi="Calibri" w:cs="Calibri"/>
          <w:sz w:val="22"/>
          <w:szCs w:val="22"/>
        </w:rPr>
      </w:pPr>
    </w:p>
    <w:p w14:paraId="1EEB04CF" w14:textId="662D1233" w:rsidR="00B3096E" w:rsidRDefault="00472FCF" w:rsidP="00250217">
      <w:pPr>
        <w:autoSpaceDN/>
        <w:spacing w:line="276" w:lineRule="auto"/>
        <w:ind w:left="284"/>
        <w:jc w:val="both"/>
        <w:textAlignment w:val="auto"/>
        <w:rPr>
          <w:rFonts w:ascii="Calibri" w:hAnsi="Calibri" w:cs="Calibri"/>
          <w:sz w:val="22"/>
          <w:szCs w:val="22"/>
        </w:rPr>
      </w:pPr>
      <w:r>
        <w:rPr>
          <w:rFonts w:ascii="Calibri" w:hAnsi="Calibri" w:cs="Calibri"/>
          <w:sz w:val="22"/>
          <w:szCs w:val="22"/>
        </w:rPr>
        <w:t>Isso observa</w:t>
      </w:r>
      <w:r w:rsidR="00B3096E" w:rsidRPr="00EF6DD1">
        <w:rPr>
          <w:rFonts w:ascii="Calibri" w:hAnsi="Calibri" w:cs="Calibri"/>
          <w:sz w:val="22"/>
          <w:szCs w:val="22"/>
        </w:rPr>
        <w:t xml:space="preserve">, especialmente promover o trabalho decente e a sustentabilidade, </w:t>
      </w:r>
      <w:r w:rsidR="00B07814">
        <w:rPr>
          <w:rFonts w:ascii="Calibri" w:hAnsi="Calibri" w:cs="Calibri"/>
          <w:sz w:val="22"/>
          <w:szCs w:val="22"/>
        </w:rPr>
        <w:t>garantindo</w:t>
      </w:r>
      <w:r w:rsidR="00B3096E" w:rsidRPr="00EF6DD1">
        <w:rPr>
          <w:rFonts w:ascii="Calibri" w:hAnsi="Calibri" w:cs="Calibri"/>
          <w:sz w:val="22"/>
          <w:szCs w:val="22"/>
        </w:rPr>
        <w:t xml:space="preserve"> </w:t>
      </w:r>
      <w:r w:rsidR="00B3096E" w:rsidRPr="00EF6DD1">
        <w:rPr>
          <w:rFonts w:ascii="Calibri" w:hAnsi="Calibri" w:cs="Calibri"/>
          <w:b/>
          <w:bCs/>
          <w:sz w:val="22"/>
          <w:szCs w:val="22"/>
        </w:rPr>
        <w:t>ambientes de trabalho seguros e protegidos</w:t>
      </w:r>
      <w:r w:rsidR="00B3096E" w:rsidRPr="00EF6DD1">
        <w:rPr>
          <w:rFonts w:ascii="Calibri" w:hAnsi="Calibri" w:cs="Calibri"/>
          <w:sz w:val="22"/>
          <w:szCs w:val="22"/>
        </w:rPr>
        <w:t>, a dignificação do trabalhador e o uso sustentável, eficiente e eficaz dos recursos sociais, ambientais e econômicos</w:t>
      </w:r>
      <w:r>
        <w:rPr>
          <w:rFonts w:ascii="Calibri" w:hAnsi="Calibri" w:cs="Calibri"/>
          <w:sz w:val="22"/>
          <w:szCs w:val="22"/>
        </w:rPr>
        <w:t>, v</w:t>
      </w:r>
      <w:r w:rsidR="00B3096E" w:rsidRPr="00EF6DD1">
        <w:rPr>
          <w:rFonts w:ascii="Calibri" w:hAnsi="Calibri" w:cs="Calibri"/>
          <w:sz w:val="22"/>
          <w:szCs w:val="22"/>
        </w:rPr>
        <w:t xml:space="preserve">isando o alcance dos </w:t>
      </w:r>
      <w:r w:rsidR="00B3096E" w:rsidRPr="00472FCF">
        <w:rPr>
          <w:rFonts w:ascii="Calibri" w:hAnsi="Calibri" w:cs="Calibri"/>
          <w:b/>
          <w:bCs/>
          <w:sz w:val="22"/>
          <w:szCs w:val="22"/>
        </w:rPr>
        <w:t>Objetivos de Desenvolvimento Sustentável – ODS da Organização das Nações Unidas – Agenda 2030</w:t>
      </w:r>
      <w:r w:rsidR="00B3096E" w:rsidRPr="00EF6DD1">
        <w:rPr>
          <w:rFonts w:ascii="Calibri" w:hAnsi="Calibri" w:cs="Calibri"/>
          <w:sz w:val="22"/>
          <w:szCs w:val="22"/>
        </w:rPr>
        <w:t xml:space="preserve">. </w:t>
      </w:r>
    </w:p>
    <w:p w14:paraId="5B8E558F" w14:textId="77777777" w:rsidR="004E1BB4" w:rsidRDefault="004E1BB4" w:rsidP="00250217">
      <w:pPr>
        <w:autoSpaceDN/>
        <w:spacing w:line="276" w:lineRule="auto"/>
        <w:ind w:left="284"/>
        <w:jc w:val="both"/>
        <w:textAlignment w:val="auto"/>
        <w:rPr>
          <w:rFonts w:ascii="Calibri" w:hAnsi="Calibri" w:cs="Calibri"/>
          <w:sz w:val="22"/>
          <w:szCs w:val="22"/>
        </w:rPr>
      </w:pPr>
    </w:p>
    <w:p w14:paraId="4446D29A" w14:textId="77777777" w:rsidR="004E1BB4" w:rsidRDefault="004E1BB4" w:rsidP="004E1BB4">
      <w:pPr>
        <w:autoSpaceDN/>
        <w:spacing w:line="276" w:lineRule="auto"/>
        <w:ind w:left="284"/>
        <w:jc w:val="both"/>
        <w:textAlignment w:val="auto"/>
        <w:rPr>
          <w:rFonts w:asciiTheme="minorHAnsi" w:hAnsiTheme="minorHAnsi" w:cstheme="minorHAnsi"/>
          <w:sz w:val="22"/>
          <w:szCs w:val="22"/>
          <w:lang w:eastAsia="pt-BR"/>
        </w:rPr>
      </w:pPr>
      <w:r w:rsidRPr="004E1BB4">
        <w:rPr>
          <w:rFonts w:asciiTheme="minorHAnsi" w:hAnsiTheme="minorHAnsi" w:cstheme="minorHAnsi"/>
          <w:sz w:val="22"/>
          <w:szCs w:val="22"/>
          <w:lang w:eastAsia="pt-BR"/>
        </w:rPr>
        <w:t>Alinhamento ao macrodesafio de “</w:t>
      </w:r>
      <w:r w:rsidRPr="004E1BB4">
        <w:rPr>
          <w:rFonts w:asciiTheme="minorHAnsi" w:hAnsiTheme="minorHAnsi" w:cstheme="minorHAnsi"/>
          <w:b/>
          <w:bCs/>
          <w:sz w:val="22"/>
          <w:szCs w:val="22"/>
          <w:lang w:eastAsia="pt-BR"/>
        </w:rPr>
        <w:t>aperfeiçoamento da gestão orçamentária e financeira</w:t>
      </w:r>
      <w:r w:rsidRPr="004E1BB4">
        <w:rPr>
          <w:rFonts w:asciiTheme="minorHAnsi" w:hAnsiTheme="minorHAnsi" w:cstheme="minorHAnsi"/>
          <w:sz w:val="22"/>
          <w:szCs w:val="22"/>
          <w:lang w:eastAsia="pt-BR"/>
        </w:rPr>
        <w:t xml:space="preserve">”, estabelecido na </w:t>
      </w:r>
      <w:r w:rsidRPr="004E1BB4">
        <w:rPr>
          <w:rFonts w:asciiTheme="minorHAnsi" w:hAnsiTheme="minorHAnsi" w:cstheme="minorHAnsi"/>
          <w:b/>
          <w:bCs/>
          <w:sz w:val="22"/>
          <w:szCs w:val="22"/>
          <w:lang w:eastAsia="pt-BR"/>
        </w:rPr>
        <w:t>Estratégia Nacional do Poder Judiciário 2021-2026</w:t>
      </w:r>
      <w:r w:rsidRPr="004E1BB4">
        <w:rPr>
          <w:rFonts w:asciiTheme="minorHAnsi" w:hAnsiTheme="minorHAnsi" w:cstheme="minorHAnsi"/>
          <w:sz w:val="22"/>
          <w:szCs w:val="22"/>
          <w:lang w:eastAsia="pt-BR"/>
        </w:rPr>
        <w:t xml:space="preserve">, instituída pela </w:t>
      </w:r>
      <w:r w:rsidRPr="004E1BB4">
        <w:rPr>
          <w:rFonts w:asciiTheme="minorHAnsi" w:hAnsiTheme="minorHAnsi" w:cstheme="minorHAnsi"/>
          <w:b/>
          <w:bCs/>
          <w:sz w:val="22"/>
          <w:szCs w:val="22"/>
          <w:lang w:eastAsia="pt-BR"/>
        </w:rPr>
        <w:t>Resolução CNJ n.º 325, de 29 de junho de 2020</w:t>
      </w:r>
      <w:r w:rsidRPr="004E1BB4">
        <w:rPr>
          <w:rFonts w:asciiTheme="minorHAnsi" w:hAnsiTheme="minorHAnsi" w:cstheme="minorHAnsi"/>
          <w:sz w:val="22"/>
          <w:szCs w:val="22"/>
          <w:lang w:eastAsia="pt-BR"/>
        </w:rPr>
        <w:t>.</w:t>
      </w:r>
    </w:p>
    <w:p w14:paraId="2EE0278E" w14:textId="77777777" w:rsidR="00136D04" w:rsidRDefault="00136D04" w:rsidP="00250217">
      <w:pPr>
        <w:autoSpaceDN/>
        <w:spacing w:line="276" w:lineRule="auto"/>
        <w:ind w:left="284"/>
        <w:jc w:val="both"/>
        <w:textAlignment w:val="auto"/>
        <w:rPr>
          <w:rFonts w:asciiTheme="minorHAnsi" w:hAnsiTheme="minorHAnsi" w:cstheme="minorHAnsi"/>
          <w:sz w:val="22"/>
          <w:szCs w:val="22"/>
          <w:lang w:eastAsia="pt-BR"/>
        </w:rPr>
      </w:pPr>
    </w:p>
    <w:p w14:paraId="32A4CA79" w14:textId="6BDB0D45" w:rsidR="00136D04" w:rsidRPr="00136D04" w:rsidRDefault="00472FCF" w:rsidP="00250217">
      <w:pPr>
        <w:autoSpaceDN/>
        <w:spacing w:line="276" w:lineRule="auto"/>
        <w:ind w:left="284"/>
        <w:jc w:val="both"/>
        <w:textAlignment w:val="auto"/>
        <w:rPr>
          <w:rFonts w:asciiTheme="minorHAnsi" w:hAnsiTheme="minorHAnsi" w:cstheme="minorHAnsi"/>
          <w:color w:val="EE0000"/>
          <w:sz w:val="22"/>
          <w:szCs w:val="22"/>
          <w:lang w:eastAsia="pt-BR"/>
        </w:rPr>
      </w:pPr>
      <w:r w:rsidRPr="00136D04">
        <w:rPr>
          <w:rFonts w:asciiTheme="minorHAnsi" w:hAnsiTheme="minorHAnsi" w:cstheme="minorHAnsi"/>
          <w:color w:val="EE0000"/>
          <w:sz w:val="22"/>
          <w:szCs w:val="22"/>
          <w:lang w:eastAsia="pt-BR"/>
        </w:rPr>
        <w:t>A presente demanda</w:t>
      </w:r>
      <w:r w:rsidR="00E348D9" w:rsidRPr="00136D04">
        <w:rPr>
          <w:rFonts w:asciiTheme="minorHAnsi" w:hAnsiTheme="minorHAnsi" w:cstheme="minorHAnsi"/>
          <w:color w:val="EE0000"/>
          <w:sz w:val="22"/>
          <w:szCs w:val="22"/>
          <w:lang w:eastAsia="pt-BR"/>
        </w:rPr>
        <w:t>,</w:t>
      </w:r>
      <w:r w:rsidRPr="00136D04">
        <w:rPr>
          <w:rFonts w:asciiTheme="minorHAnsi" w:hAnsiTheme="minorHAnsi" w:cstheme="minorHAnsi"/>
          <w:color w:val="EE0000"/>
          <w:sz w:val="22"/>
          <w:szCs w:val="22"/>
          <w:lang w:eastAsia="pt-BR"/>
        </w:rPr>
        <w:t xml:space="preserve"> </w:t>
      </w:r>
      <w:r w:rsidR="004E1BB4" w:rsidRPr="00136D04">
        <w:rPr>
          <w:rFonts w:asciiTheme="minorHAnsi" w:hAnsiTheme="minorHAnsi" w:cstheme="minorHAnsi"/>
          <w:color w:val="EE0000"/>
          <w:sz w:val="22"/>
          <w:szCs w:val="22"/>
          <w:lang w:eastAsia="pt-BR"/>
        </w:rPr>
        <w:t xml:space="preserve">na modalidade de </w:t>
      </w:r>
      <w:r w:rsidR="004E1BB4" w:rsidRPr="00136D04">
        <w:rPr>
          <w:rFonts w:asciiTheme="minorHAnsi" w:hAnsiTheme="minorHAnsi" w:cstheme="minorHAnsi"/>
          <w:b/>
          <w:bCs/>
          <w:color w:val="EE0000"/>
          <w:sz w:val="22"/>
          <w:szCs w:val="22"/>
          <w:lang w:eastAsia="pt-BR"/>
        </w:rPr>
        <w:t>Sistema de Registro de Preços</w:t>
      </w:r>
      <w:r w:rsidR="00E348D9" w:rsidRPr="00136D04">
        <w:rPr>
          <w:rFonts w:asciiTheme="minorHAnsi" w:hAnsiTheme="minorHAnsi" w:cstheme="minorHAnsi"/>
          <w:b/>
          <w:bCs/>
          <w:color w:val="EE0000"/>
          <w:sz w:val="22"/>
          <w:szCs w:val="22"/>
          <w:lang w:eastAsia="pt-BR"/>
        </w:rPr>
        <w:t>,</w:t>
      </w:r>
      <w:r w:rsidR="004E1BB4" w:rsidRPr="00136D04">
        <w:rPr>
          <w:rFonts w:asciiTheme="minorHAnsi" w:hAnsiTheme="minorHAnsi" w:cstheme="minorHAnsi"/>
          <w:color w:val="EE0000"/>
          <w:sz w:val="22"/>
          <w:szCs w:val="22"/>
          <w:lang w:eastAsia="pt-BR"/>
        </w:rPr>
        <w:t xml:space="preserve"> consta</w:t>
      </w:r>
      <w:r w:rsidRPr="00136D04">
        <w:rPr>
          <w:rFonts w:asciiTheme="minorHAnsi" w:hAnsiTheme="minorHAnsi" w:cstheme="minorHAnsi"/>
          <w:color w:val="EE0000"/>
          <w:sz w:val="22"/>
          <w:szCs w:val="22"/>
          <w:lang w:eastAsia="pt-BR"/>
        </w:rPr>
        <w:t xml:space="preserve"> no</w:t>
      </w:r>
      <w:r w:rsidR="007F47F2" w:rsidRPr="00136D04">
        <w:rPr>
          <w:rFonts w:asciiTheme="minorHAnsi" w:hAnsiTheme="minorHAnsi" w:cstheme="minorHAnsi"/>
          <w:color w:val="EE0000"/>
          <w:sz w:val="22"/>
          <w:szCs w:val="22"/>
          <w:lang w:eastAsia="pt-BR"/>
        </w:rPr>
        <w:t xml:space="preserve"> </w:t>
      </w:r>
      <w:r w:rsidR="00235BEC" w:rsidRPr="00136D04">
        <w:rPr>
          <w:rFonts w:asciiTheme="minorHAnsi" w:hAnsiTheme="minorHAnsi" w:cstheme="minorHAnsi"/>
          <w:b/>
          <w:bCs/>
          <w:color w:val="EE0000"/>
          <w:sz w:val="22"/>
          <w:szCs w:val="22"/>
          <w:lang w:eastAsia="pt-BR"/>
        </w:rPr>
        <w:t>Plano de Contratações</w:t>
      </w:r>
      <w:r w:rsidR="00136D04" w:rsidRPr="00136D04">
        <w:rPr>
          <w:rFonts w:asciiTheme="minorHAnsi" w:hAnsiTheme="minorHAnsi" w:cstheme="minorHAnsi"/>
          <w:b/>
          <w:bCs/>
          <w:color w:val="EE0000"/>
          <w:sz w:val="22"/>
          <w:szCs w:val="22"/>
          <w:lang w:eastAsia="pt-BR"/>
        </w:rPr>
        <w:t xml:space="preserve"> Anual (PCA)</w:t>
      </w:r>
      <w:r w:rsidR="00235BEC" w:rsidRPr="00136D04">
        <w:rPr>
          <w:rFonts w:asciiTheme="minorHAnsi" w:hAnsiTheme="minorHAnsi" w:cstheme="minorHAnsi"/>
          <w:b/>
          <w:bCs/>
          <w:color w:val="EE0000"/>
          <w:sz w:val="22"/>
          <w:szCs w:val="22"/>
          <w:lang w:eastAsia="pt-BR"/>
        </w:rPr>
        <w:t xml:space="preserve"> </w:t>
      </w:r>
      <w:r w:rsidRPr="00136D04">
        <w:rPr>
          <w:rFonts w:asciiTheme="minorHAnsi" w:hAnsiTheme="minorHAnsi" w:cstheme="minorHAnsi"/>
          <w:b/>
          <w:bCs/>
          <w:color w:val="EE0000"/>
          <w:sz w:val="22"/>
          <w:szCs w:val="22"/>
          <w:lang w:eastAsia="pt-BR"/>
        </w:rPr>
        <w:t>- Exercício de 202</w:t>
      </w:r>
      <w:r w:rsidR="004E1BB4" w:rsidRPr="00136D04">
        <w:rPr>
          <w:rFonts w:asciiTheme="minorHAnsi" w:hAnsiTheme="minorHAnsi" w:cstheme="minorHAnsi"/>
          <w:b/>
          <w:bCs/>
          <w:color w:val="EE0000"/>
          <w:sz w:val="22"/>
          <w:szCs w:val="22"/>
          <w:lang w:eastAsia="pt-BR"/>
        </w:rPr>
        <w:t>6</w:t>
      </w:r>
      <w:r w:rsidRPr="00136D04">
        <w:rPr>
          <w:rFonts w:asciiTheme="minorHAnsi" w:hAnsiTheme="minorHAnsi" w:cstheme="minorHAnsi"/>
          <w:color w:val="EE0000"/>
          <w:sz w:val="22"/>
          <w:szCs w:val="22"/>
          <w:lang w:eastAsia="pt-BR"/>
        </w:rPr>
        <w:t xml:space="preserve"> </w:t>
      </w:r>
      <w:r w:rsidR="00235BEC" w:rsidRPr="00136D04">
        <w:rPr>
          <w:rFonts w:asciiTheme="minorHAnsi" w:hAnsiTheme="minorHAnsi" w:cstheme="minorHAnsi"/>
          <w:color w:val="EE0000"/>
          <w:sz w:val="22"/>
          <w:szCs w:val="22"/>
          <w:lang w:eastAsia="pt-BR"/>
        </w:rPr>
        <w:t xml:space="preserve">e </w:t>
      </w:r>
      <w:r w:rsidR="00235BEC" w:rsidRPr="00136D04">
        <w:rPr>
          <w:rFonts w:asciiTheme="minorHAnsi" w:hAnsiTheme="minorHAnsi" w:cstheme="minorHAnsi"/>
          <w:b/>
          <w:bCs/>
          <w:color w:val="EE0000"/>
          <w:sz w:val="22"/>
          <w:szCs w:val="22"/>
          <w:lang w:eastAsia="pt-BR"/>
        </w:rPr>
        <w:t>Item</w:t>
      </w:r>
      <w:r w:rsidR="00136D04" w:rsidRPr="00136D04">
        <w:rPr>
          <w:rFonts w:asciiTheme="minorHAnsi" w:hAnsiTheme="minorHAnsi" w:cstheme="minorHAnsi"/>
          <w:b/>
          <w:bCs/>
          <w:color w:val="EE0000"/>
          <w:sz w:val="22"/>
          <w:szCs w:val="22"/>
          <w:lang w:eastAsia="pt-BR"/>
        </w:rPr>
        <w:t xml:space="preserve"> 64 - Código</w:t>
      </w:r>
      <w:r w:rsidR="00235BEC" w:rsidRPr="00136D04">
        <w:rPr>
          <w:rFonts w:asciiTheme="minorHAnsi" w:hAnsiTheme="minorHAnsi" w:cstheme="minorHAnsi"/>
          <w:b/>
          <w:bCs/>
          <w:color w:val="EE0000"/>
          <w:sz w:val="22"/>
          <w:szCs w:val="22"/>
          <w:lang w:eastAsia="pt-BR"/>
        </w:rPr>
        <w:t xml:space="preserve"> do SIGEO nº </w:t>
      </w:r>
      <w:r w:rsidR="00136D04" w:rsidRPr="00136D04">
        <w:rPr>
          <w:rFonts w:asciiTheme="minorHAnsi" w:hAnsiTheme="minorHAnsi" w:cstheme="minorHAnsi"/>
          <w:b/>
          <w:bCs/>
          <w:color w:val="EE0000"/>
          <w:sz w:val="22"/>
          <w:szCs w:val="22"/>
          <w:lang w:eastAsia="pt-BR"/>
        </w:rPr>
        <w:t>151082026000133</w:t>
      </w:r>
      <w:r w:rsidR="00235BEC" w:rsidRPr="00136D04">
        <w:rPr>
          <w:rFonts w:asciiTheme="minorHAnsi" w:hAnsiTheme="minorHAnsi" w:cstheme="minorHAnsi"/>
          <w:color w:val="EE0000"/>
          <w:sz w:val="22"/>
          <w:szCs w:val="22"/>
          <w:lang w:eastAsia="pt-BR"/>
        </w:rPr>
        <w:t xml:space="preserve"> </w:t>
      </w:r>
      <w:r w:rsidRPr="00136D04">
        <w:rPr>
          <w:rFonts w:asciiTheme="minorHAnsi" w:hAnsiTheme="minorHAnsi" w:cstheme="minorHAnsi"/>
          <w:color w:val="EE0000"/>
          <w:sz w:val="22"/>
          <w:szCs w:val="22"/>
          <w:lang w:eastAsia="pt-BR"/>
        </w:rPr>
        <w:t>deste Regional</w:t>
      </w:r>
      <w:r w:rsidR="004E1BB4" w:rsidRPr="00136D04">
        <w:rPr>
          <w:rFonts w:asciiTheme="minorHAnsi" w:hAnsiTheme="minorHAnsi" w:cstheme="minorHAnsi"/>
          <w:color w:val="EE0000"/>
          <w:sz w:val="22"/>
          <w:szCs w:val="22"/>
          <w:lang w:eastAsia="pt-BR"/>
        </w:rPr>
        <w:t>.</w:t>
      </w:r>
    </w:p>
    <w:p w14:paraId="06EA806A" w14:textId="4D78E98E" w:rsidR="00136D04" w:rsidRDefault="00136D04" w:rsidP="00250217">
      <w:pPr>
        <w:autoSpaceDN/>
        <w:spacing w:line="276" w:lineRule="auto"/>
        <w:ind w:left="284"/>
        <w:jc w:val="both"/>
        <w:textAlignment w:val="auto"/>
        <w:rPr>
          <w:rFonts w:asciiTheme="minorHAnsi" w:hAnsiTheme="minorHAnsi" w:cstheme="minorHAnsi"/>
          <w:sz w:val="22"/>
          <w:szCs w:val="22"/>
          <w:lang w:eastAsia="pt-BR"/>
        </w:rPr>
      </w:pPr>
      <w:hyperlink r:id="rId9" w:history="1">
        <w:r w:rsidRPr="009B63D2">
          <w:rPr>
            <w:rStyle w:val="Hyperlink"/>
            <w:rFonts w:asciiTheme="minorHAnsi" w:hAnsiTheme="minorHAnsi" w:cstheme="minorHAnsi"/>
            <w:sz w:val="22"/>
            <w:szCs w:val="22"/>
            <w:lang w:eastAsia="pt-BR"/>
          </w:rPr>
          <w:t>https://www.trt7.jus.br/files/contas_publicas/plano_contratacoes_anuais/PCA_2026_-_PLANO_DE_CONTRATACOES_ANUAL_-_PCA_-_EXERCICIO_DE_2025.pdf</w:t>
        </w:r>
      </w:hyperlink>
    </w:p>
    <w:p w14:paraId="01BAFD87" w14:textId="77777777" w:rsidR="009C6D99" w:rsidRDefault="009C6D99" w:rsidP="00250217">
      <w:pPr>
        <w:autoSpaceDN/>
        <w:spacing w:line="276" w:lineRule="auto"/>
        <w:ind w:left="284"/>
        <w:jc w:val="both"/>
        <w:textAlignment w:val="auto"/>
        <w:rPr>
          <w:rFonts w:asciiTheme="minorHAnsi" w:hAnsiTheme="minorHAnsi" w:cstheme="minorHAnsi"/>
          <w:sz w:val="22"/>
          <w:szCs w:val="22"/>
          <w:lang w:eastAsia="pt-BR"/>
        </w:rPr>
      </w:pPr>
    </w:p>
    <w:p w14:paraId="34A2AC3C" w14:textId="77777777" w:rsidR="00EF6DD1" w:rsidRDefault="001B47AE" w:rsidP="00D87A29">
      <w:pPr>
        <w:numPr>
          <w:ilvl w:val="0"/>
          <w:numId w:val="43"/>
        </w:numPr>
        <w:autoSpaceDN/>
        <w:spacing w:line="276" w:lineRule="auto"/>
        <w:jc w:val="both"/>
        <w:textAlignment w:val="auto"/>
        <w:rPr>
          <w:rFonts w:ascii="Calibri" w:hAnsi="Calibri" w:cs="Calibri"/>
          <w:b/>
          <w:bCs/>
          <w:sz w:val="22"/>
          <w:szCs w:val="22"/>
        </w:rPr>
      </w:pPr>
      <w:r w:rsidRPr="00176B9E">
        <w:rPr>
          <w:rFonts w:ascii="Calibri" w:hAnsi="Calibri" w:cs="Calibri"/>
          <w:b/>
          <w:bCs/>
          <w:sz w:val="22"/>
          <w:szCs w:val="22"/>
        </w:rPr>
        <w:t xml:space="preserve">BENEFÍCIOS A SEREM ALCANÇADOS COM A CONTRATAÇÃO: </w:t>
      </w:r>
    </w:p>
    <w:p w14:paraId="29F35A6C" w14:textId="1636B7CC" w:rsidR="00131C81" w:rsidRPr="00131C81" w:rsidRDefault="00131C81" w:rsidP="00131C81">
      <w:pPr>
        <w:autoSpaceDN/>
        <w:spacing w:line="276" w:lineRule="auto"/>
        <w:ind w:left="360"/>
        <w:jc w:val="both"/>
        <w:textAlignment w:val="auto"/>
        <w:rPr>
          <w:rFonts w:ascii="Calibri" w:hAnsi="Calibri" w:cs="Calibri"/>
          <w:sz w:val="22"/>
          <w:szCs w:val="22"/>
          <w:lang w:eastAsia="pt-BR"/>
        </w:rPr>
      </w:pPr>
      <w:r w:rsidRPr="00131C81">
        <w:rPr>
          <w:rFonts w:ascii="Calibri" w:hAnsi="Calibri" w:cs="Calibri"/>
          <w:sz w:val="22"/>
          <w:szCs w:val="22"/>
          <w:lang w:eastAsia="pt-BR"/>
        </w:rPr>
        <w:t xml:space="preserve">A contratação proporcionará uma redução no custeio do Tribunal através da </w:t>
      </w:r>
      <w:proofErr w:type="gramStart"/>
      <w:r w:rsidRPr="00131C81">
        <w:rPr>
          <w:rFonts w:ascii="Calibri" w:hAnsi="Calibri" w:cs="Calibri"/>
          <w:sz w:val="22"/>
          <w:szCs w:val="22"/>
          <w:lang w:eastAsia="pt-BR"/>
        </w:rPr>
        <w:t>tecnologia</w:t>
      </w:r>
      <w:r w:rsidR="006D128C">
        <w:rPr>
          <w:rFonts w:ascii="Calibri" w:hAnsi="Calibri" w:cs="Calibri"/>
          <w:sz w:val="22"/>
          <w:szCs w:val="22"/>
          <w:lang w:eastAsia="pt-BR"/>
        </w:rPr>
        <w:t xml:space="preserve"> </w:t>
      </w:r>
      <w:r w:rsidRPr="00116B28">
        <w:rPr>
          <w:rFonts w:ascii="Calibri" w:hAnsi="Calibri" w:cs="Calibri"/>
          <w:b/>
          <w:bCs/>
          <w:sz w:val="22"/>
          <w:szCs w:val="22"/>
          <w:lang w:eastAsia="pt-BR"/>
        </w:rPr>
        <w:t>Inverter</w:t>
      </w:r>
      <w:proofErr w:type="gramEnd"/>
      <w:r w:rsidRPr="00131C81">
        <w:rPr>
          <w:rFonts w:ascii="Calibri" w:hAnsi="Calibri" w:cs="Calibri"/>
          <w:sz w:val="22"/>
          <w:szCs w:val="22"/>
          <w:lang w:eastAsia="pt-BR"/>
        </w:rPr>
        <w:t>, que otimiza o consumo de energia elétrica e diminui a necessidade de manutenções corretivas onerosas em aparelhos obsoletos. Além da eficiência econômica, a solução garante o bem-estar e a saúde de magistrados, servidores e jurisdicionados, assegurando um ambiente de trabalho seguro e produtivo em conformidade com as normas de ergonomia e conforto térmico.</w:t>
      </w:r>
    </w:p>
    <w:p w14:paraId="77E09ED3" w14:textId="77777777" w:rsidR="00131C81" w:rsidRPr="00131C81" w:rsidRDefault="00131C81" w:rsidP="00131C81">
      <w:pPr>
        <w:autoSpaceDN/>
        <w:spacing w:line="276" w:lineRule="auto"/>
        <w:ind w:left="360"/>
        <w:jc w:val="both"/>
        <w:textAlignment w:val="auto"/>
        <w:rPr>
          <w:rFonts w:ascii="Calibri" w:hAnsi="Calibri" w:cs="Calibri"/>
          <w:sz w:val="22"/>
          <w:szCs w:val="22"/>
          <w:lang w:eastAsia="pt-BR"/>
        </w:rPr>
      </w:pPr>
    </w:p>
    <w:p w14:paraId="51CCF1EB" w14:textId="1B94DC59" w:rsidR="00694243" w:rsidRDefault="00131C81" w:rsidP="00131C81">
      <w:pPr>
        <w:autoSpaceDN/>
        <w:spacing w:line="276" w:lineRule="auto"/>
        <w:ind w:left="360"/>
        <w:jc w:val="both"/>
        <w:textAlignment w:val="auto"/>
        <w:rPr>
          <w:rFonts w:ascii="Calibri" w:hAnsi="Calibri" w:cs="Calibri"/>
          <w:sz w:val="22"/>
          <w:szCs w:val="22"/>
          <w:lang w:eastAsia="pt-BR"/>
        </w:rPr>
      </w:pPr>
      <w:r w:rsidRPr="00131C81">
        <w:rPr>
          <w:rFonts w:ascii="Calibri" w:hAnsi="Calibri" w:cs="Calibri"/>
          <w:sz w:val="22"/>
          <w:szCs w:val="22"/>
          <w:lang w:eastAsia="pt-BR"/>
        </w:rPr>
        <w:t xml:space="preserve">Do ponto de vista operacional, a solução protege o patrimônio tecnológico do </w:t>
      </w:r>
      <w:r>
        <w:rPr>
          <w:rFonts w:ascii="Calibri" w:hAnsi="Calibri" w:cs="Calibri"/>
          <w:sz w:val="22"/>
          <w:szCs w:val="22"/>
          <w:lang w:eastAsia="pt-BR"/>
        </w:rPr>
        <w:t>Tribunal</w:t>
      </w:r>
      <w:r w:rsidRPr="00131C81">
        <w:rPr>
          <w:rFonts w:ascii="Calibri" w:hAnsi="Calibri" w:cs="Calibri"/>
          <w:sz w:val="22"/>
          <w:szCs w:val="22"/>
          <w:lang w:eastAsia="pt-BR"/>
        </w:rPr>
        <w:t xml:space="preserve"> ao evitar o superaquecimento de ativos sensíveis</w:t>
      </w:r>
      <w:r>
        <w:rPr>
          <w:rFonts w:ascii="Calibri" w:hAnsi="Calibri" w:cs="Calibri"/>
          <w:sz w:val="22"/>
          <w:szCs w:val="22"/>
          <w:lang w:eastAsia="pt-BR"/>
        </w:rPr>
        <w:t xml:space="preserve"> de tecnologia da informação</w:t>
      </w:r>
      <w:r w:rsidRPr="00131C81">
        <w:rPr>
          <w:rFonts w:ascii="Calibri" w:hAnsi="Calibri" w:cs="Calibri"/>
          <w:sz w:val="22"/>
          <w:szCs w:val="22"/>
          <w:lang w:eastAsia="pt-BR"/>
        </w:rPr>
        <w:t>, como servidores e equipamentos eletrônicos. A adoção do Registro de Preços, somada ao modelo de responsabilidade única (fornecimento e instalação integrados), confere agilidade na reposição de unidades defeituosas e segurança jurídica quanto à garantia técnica, consolidando a eficiência administrativa e o uso sustentável dos recursos públicos.</w:t>
      </w:r>
    </w:p>
    <w:p w14:paraId="6D48CD16" w14:textId="77777777" w:rsidR="00E27F49" w:rsidRDefault="00E27F49" w:rsidP="00131C81">
      <w:pPr>
        <w:autoSpaceDN/>
        <w:spacing w:line="276" w:lineRule="auto"/>
        <w:ind w:left="360"/>
        <w:jc w:val="both"/>
        <w:textAlignment w:val="auto"/>
        <w:rPr>
          <w:rFonts w:ascii="Calibri" w:hAnsi="Calibri" w:cs="Calibri"/>
          <w:sz w:val="22"/>
          <w:szCs w:val="22"/>
          <w:lang w:eastAsia="pt-BR"/>
        </w:rPr>
      </w:pPr>
    </w:p>
    <w:p w14:paraId="6BC10015" w14:textId="77777777" w:rsidR="004A2597" w:rsidRDefault="008E187C" w:rsidP="00D87A29">
      <w:pPr>
        <w:numPr>
          <w:ilvl w:val="0"/>
          <w:numId w:val="43"/>
        </w:numPr>
        <w:autoSpaceDN/>
        <w:spacing w:line="276" w:lineRule="auto"/>
        <w:ind w:left="357" w:hanging="357"/>
        <w:jc w:val="both"/>
        <w:textAlignment w:val="auto"/>
        <w:rPr>
          <w:rFonts w:ascii="Calibri" w:hAnsi="Calibri" w:cs="Calibri"/>
          <w:b/>
          <w:bCs/>
          <w:sz w:val="22"/>
          <w:szCs w:val="22"/>
        </w:rPr>
      </w:pPr>
      <w:r w:rsidRPr="004A2597">
        <w:rPr>
          <w:rFonts w:ascii="Calibri" w:hAnsi="Calibri" w:cs="Calibri"/>
          <w:b/>
          <w:bCs/>
          <w:sz w:val="22"/>
          <w:szCs w:val="22"/>
        </w:rPr>
        <w:t xml:space="preserve">PROVIDÊNCIAS A SEREM ADOTADAS: </w:t>
      </w:r>
    </w:p>
    <w:p w14:paraId="69D962F8" w14:textId="77777777" w:rsidR="00131C81" w:rsidRPr="00131C81" w:rsidRDefault="00131C81" w:rsidP="00131C81">
      <w:pPr>
        <w:autoSpaceDN/>
        <w:spacing w:line="276" w:lineRule="auto"/>
        <w:ind w:left="357"/>
        <w:jc w:val="both"/>
        <w:textAlignment w:val="auto"/>
        <w:rPr>
          <w:rFonts w:ascii="Calibri" w:hAnsi="Calibri" w:cs="Calibri"/>
          <w:bCs/>
          <w:sz w:val="22"/>
          <w:szCs w:val="22"/>
        </w:rPr>
      </w:pPr>
      <w:r w:rsidRPr="00131C81">
        <w:rPr>
          <w:rFonts w:ascii="Calibri" w:hAnsi="Calibri" w:cs="Calibri"/>
          <w:bCs/>
          <w:sz w:val="22"/>
          <w:szCs w:val="22"/>
        </w:rPr>
        <w:t>A execução dos serviços de desinstalação, infraestrutura civil e montagem dos novos sistemas de climatização pressupõe intervenções físicas que envolvem demolições pontuais, remoção de entulhos e transporte de materiais. Tais atividades possuem potencial para gerar ruídos e desconforto ambiental que podem interferir na produtividade das unidades administrativas e judiciárias.</w:t>
      </w:r>
    </w:p>
    <w:p w14:paraId="53B6B66F" w14:textId="77777777" w:rsidR="00131C81" w:rsidRPr="00131C81" w:rsidRDefault="00131C81" w:rsidP="00131C81">
      <w:pPr>
        <w:autoSpaceDN/>
        <w:spacing w:line="276" w:lineRule="auto"/>
        <w:ind w:left="357"/>
        <w:jc w:val="both"/>
        <w:textAlignment w:val="auto"/>
        <w:rPr>
          <w:rFonts w:ascii="Calibri" w:hAnsi="Calibri" w:cs="Calibri"/>
          <w:bCs/>
          <w:sz w:val="22"/>
          <w:szCs w:val="22"/>
        </w:rPr>
      </w:pPr>
    </w:p>
    <w:p w14:paraId="1DF49AE2" w14:textId="2381A135" w:rsidR="00131C81" w:rsidRDefault="00131C81" w:rsidP="00131C81">
      <w:pPr>
        <w:autoSpaceDN/>
        <w:spacing w:line="276" w:lineRule="auto"/>
        <w:ind w:left="357"/>
        <w:jc w:val="both"/>
        <w:textAlignment w:val="auto"/>
        <w:rPr>
          <w:rFonts w:ascii="Calibri" w:hAnsi="Calibri" w:cs="Calibri"/>
          <w:bCs/>
          <w:sz w:val="22"/>
          <w:szCs w:val="22"/>
        </w:rPr>
      </w:pPr>
      <w:r w:rsidRPr="00131C81">
        <w:rPr>
          <w:rFonts w:ascii="Calibri" w:hAnsi="Calibri" w:cs="Calibri"/>
          <w:bCs/>
          <w:sz w:val="22"/>
          <w:szCs w:val="22"/>
        </w:rPr>
        <w:t>Dessa forma, a execução deverá ser precedida de um rigoroso planejamento logístico entre a equipe técnica e as áreas demandantes, visando à liberação programada e, se necessário, à desocupação temporária dos ambientes. Este cronograma de intervenção tem como objetivo conciliar a agilidade das instalações com a manutenção do fluxo de trabalho do Tribunal, priorizando, sempre que possível, horários de menor impacto à prestação jurisdicional e garantindo a segurança de servidores e usuários durante as obras.</w:t>
      </w:r>
    </w:p>
    <w:p w14:paraId="3A987B93" w14:textId="77777777" w:rsidR="00131C81" w:rsidRPr="004A2597" w:rsidRDefault="00131C81" w:rsidP="00131C81">
      <w:pPr>
        <w:autoSpaceDN/>
        <w:spacing w:line="276" w:lineRule="auto"/>
        <w:ind w:left="357"/>
        <w:jc w:val="both"/>
        <w:textAlignment w:val="auto"/>
        <w:rPr>
          <w:rFonts w:ascii="Calibri" w:hAnsi="Calibri" w:cs="Calibri"/>
          <w:b/>
          <w:bCs/>
          <w:sz w:val="22"/>
          <w:szCs w:val="22"/>
        </w:rPr>
      </w:pPr>
    </w:p>
    <w:p w14:paraId="22DB94F5" w14:textId="77777777" w:rsidR="00EF6DD1" w:rsidRDefault="008E187C" w:rsidP="00D87A29">
      <w:pPr>
        <w:numPr>
          <w:ilvl w:val="0"/>
          <w:numId w:val="43"/>
        </w:numPr>
        <w:autoSpaceDN/>
        <w:spacing w:line="276" w:lineRule="auto"/>
        <w:ind w:left="357" w:hanging="357"/>
        <w:jc w:val="both"/>
        <w:textAlignment w:val="auto"/>
        <w:rPr>
          <w:rFonts w:ascii="Calibri" w:hAnsi="Calibri" w:cs="Calibri"/>
          <w:b/>
          <w:bCs/>
          <w:sz w:val="22"/>
          <w:szCs w:val="22"/>
        </w:rPr>
      </w:pPr>
      <w:r w:rsidRPr="00F32EC1">
        <w:rPr>
          <w:rFonts w:ascii="Calibri" w:hAnsi="Calibri" w:cs="Calibri"/>
          <w:b/>
          <w:bCs/>
          <w:sz w:val="22"/>
          <w:szCs w:val="22"/>
        </w:rPr>
        <w:t xml:space="preserve">POSSÍVEIS IMPACTOS AMBIENTAIS: </w:t>
      </w:r>
    </w:p>
    <w:p w14:paraId="1E8C5DF2" w14:textId="77777777" w:rsidR="00562812" w:rsidRPr="00562812" w:rsidRDefault="00562812" w:rsidP="00562812">
      <w:pPr>
        <w:autoSpaceDN/>
        <w:spacing w:line="276" w:lineRule="auto"/>
        <w:ind w:left="357"/>
        <w:jc w:val="both"/>
        <w:textAlignment w:val="auto"/>
        <w:rPr>
          <w:rFonts w:ascii="Calibri" w:hAnsi="Calibri" w:cs="Calibri"/>
          <w:sz w:val="22"/>
          <w:szCs w:val="22"/>
        </w:rPr>
      </w:pPr>
      <w:r w:rsidRPr="00562812">
        <w:rPr>
          <w:rFonts w:ascii="Calibri" w:hAnsi="Calibri" w:cs="Calibri"/>
          <w:sz w:val="22"/>
          <w:szCs w:val="22"/>
        </w:rPr>
        <w:t>A análise técnica do objeto revela um baixo potencial de degradação ambiental, característica que se acentua na execução das unidades localizadas no interior do estado. Dado que as intervenções serão realizadas de forma dispersa em diversas jurisdições, o volume de resíduos sólidos de construção civil (alvenaria e concreto) gerado em cada localidade isoladamente é classificado como de baixo impacto volumétrico.</w:t>
      </w:r>
    </w:p>
    <w:p w14:paraId="09FCC99C" w14:textId="77777777" w:rsidR="00562812" w:rsidRPr="00562812" w:rsidRDefault="00562812" w:rsidP="00562812">
      <w:pPr>
        <w:autoSpaceDN/>
        <w:spacing w:line="276" w:lineRule="auto"/>
        <w:ind w:left="357"/>
        <w:jc w:val="both"/>
        <w:textAlignment w:val="auto"/>
        <w:rPr>
          <w:rFonts w:ascii="Calibri" w:hAnsi="Calibri" w:cs="Calibri"/>
          <w:sz w:val="22"/>
          <w:szCs w:val="22"/>
        </w:rPr>
      </w:pPr>
    </w:p>
    <w:p w14:paraId="5681A67E" w14:textId="05FE93CD" w:rsidR="00562812" w:rsidRDefault="00562812" w:rsidP="00562812">
      <w:pPr>
        <w:autoSpaceDN/>
        <w:spacing w:line="276" w:lineRule="auto"/>
        <w:ind w:left="357"/>
        <w:jc w:val="both"/>
        <w:textAlignment w:val="auto"/>
        <w:rPr>
          <w:rFonts w:ascii="Calibri" w:hAnsi="Calibri" w:cs="Calibri"/>
          <w:sz w:val="22"/>
          <w:szCs w:val="22"/>
        </w:rPr>
      </w:pPr>
      <w:r w:rsidRPr="00562812">
        <w:rPr>
          <w:rFonts w:ascii="Calibri" w:hAnsi="Calibri" w:cs="Calibri"/>
          <w:sz w:val="22"/>
          <w:szCs w:val="22"/>
        </w:rPr>
        <w:lastRenderedPageBreak/>
        <w:t xml:space="preserve">Com base na </w:t>
      </w:r>
      <w:r w:rsidRPr="00562812">
        <w:rPr>
          <w:rFonts w:ascii="Calibri" w:hAnsi="Calibri" w:cs="Calibri"/>
          <w:b/>
          <w:bCs/>
          <w:sz w:val="22"/>
          <w:szCs w:val="22"/>
        </w:rPr>
        <w:t>Lei Ordinária Municipal nº 8.408/1999</w:t>
      </w:r>
      <w:r w:rsidRPr="00562812">
        <w:rPr>
          <w:rFonts w:ascii="Calibri" w:hAnsi="Calibri" w:cs="Calibri"/>
          <w:sz w:val="22"/>
          <w:szCs w:val="22"/>
        </w:rPr>
        <w:t xml:space="preserve"> (e suas alterações), aplicada por analogia ou de forma direta quando no município de Fortaleza, e em observância à </w:t>
      </w:r>
      <w:r w:rsidRPr="00562812">
        <w:rPr>
          <w:rFonts w:ascii="Calibri" w:hAnsi="Calibri" w:cs="Calibri"/>
          <w:b/>
          <w:bCs/>
          <w:sz w:val="22"/>
          <w:szCs w:val="22"/>
        </w:rPr>
        <w:t>Resolução CONAMA nº 307/2002</w:t>
      </w:r>
      <w:r w:rsidRPr="00562812">
        <w:rPr>
          <w:rFonts w:ascii="Calibri" w:hAnsi="Calibri" w:cs="Calibri"/>
          <w:sz w:val="22"/>
          <w:szCs w:val="22"/>
        </w:rPr>
        <w:t xml:space="preserve">, verifica-se a </w:t>
      </w:r>
      <w:r w:rsidRPr="00562812">
        <w:rPr>
          <w:rFonts w:ascii="Calibri" w:hAnsi="Calibri" w:cs="Calibri"/>
          <w:b/>
          <w:bCs/>
          <w:sz w:val="22"/>
          <w:szCs w:val="22"/>
        </w:rPr>
        <w:t>dispensa da elaboração de um Plano de Gerenciamento de Resíduos Sólidos (PGRS) para este caso concreto</w:t>
      </w:r>
      <w:r w:rsidRPr="00562812">
        <w:rPr>
          <w:rFonts w:ascii="Calibri" w:hAnsi="Calibri" w:cs="Calibri"/>
          <w:sz w:val="22"/>
          <w:szCs w:val="22"/>
        </w:rPr>
        <w:t>. A obrigatoriedade do referido plano não se aplica, uma vez que o cronograma de instalação nas unidades do interior não atingirá os patamares quantitativos regulamentares de 100 litros/dia para resíduos comuns ou 50 litros/dia para resíduos de construção.</w:t>
      </w:r>
      <w:r w:rsidR="00504BCB">
        <w:rPr>
          <w:rFonts w:ascii="Calibri" w:hAnsi="Calibri" w:cs="Calibri"/>
          <w:sz w:val="22"/>
          <w:szCs w:val="22"/>
        </w:rPr>
        <w:t xml:space="preserve"> </w:t>
      </w:r>
      <w:r w:rsidRPr="00562812">
        <w:rPr>
          <w:rFonts w:ascii="Calibri" w:hAnsi="Calibri" w:cs="Calibri"/>
          <w:sz w:val="22"/>
          <w:szCs w:val="22"/>
        </w:rPr>
        <w:t>A logística de execução no interior reforça a eficiência do modelo adotado, pois:</w:t>
      </w:r>
    </w:p>
    <w:p w14:paraId="5DB7F31E" w14:textId="77777777" w:rsidR="00504BCB" w:rsidRPr="00562812" w:rsidRDefault="00504BCB" w:rsidP="00562812">
      <w:pPr>
        <w:autoSpaceDN/>
        <w:spacing w:line="276" w:lineRule="auto"/>
        <w:ind w:left="357"/>
        <w:jc w:val="both"/>
        <w:textAlignment w:val="auto"/>
        <w:rPr>
          <w:rFonts w:ascii="Calibri" w:hAnsi="Calibri" w:cs="Calibri"/>
          <w:sz w:val="22"/>
          <w:szCs w:val="22"/>
        </w:rPr>
      </w:pPr>
    </w:p>
    <w:p w14:paraId="2ABDA714" w14:textId="77777777" w:rsidR="00562812" w:rsidRPr="00E27F49" w:rsidRDefault="00562812" w:rsidP="00E27F49">
      <w:pPr>
        <w:pStyle w:val="PargrafodaLista"/>
        <w:numPr>
          <w:ilvl w:val="0"/>
          <w:numId w:val="44"/>
        </w:numPr>
        <w:autoSpaceDN/>
        <w:spacing w:line="276" w:lineRule="auto"/>
        <w:jc w:val="both"/>
        <w:textAlignment w:val="auto"/>
        <w:rPr>
          <w:rFonts w:ascii="Calibri" w:hAnsi="Calibri" w:cs="Calibri"/>
          <w:sz w:val="22"/>
          <w:szCs w:val="22"/>
        </w:rPr>
      </w:pPr>
      <w:r w:rsidRPr="00E27F49">
        <w:rPr>
          <w:rFonts w:ascii="Calibri" w:hAnsi="Calibri" w:cs="Calibri"/>
          <w:b/>
          <w:bCs/>
          <w:sz w:val="22"/>
          <w:szCs w:val="22"/>
        </w:rPr>
        <w:t>Dispersão Geográfica:</w:t>
      </w:r>
      <w:r w:rsidRPr="00E27F49">
        <w:rPr>
          <w:rFonts w:ascii="Calibri" w:hAnsi="Calibri" w:cs="Calibri"/>
          <w:sz w:val="22"/>
          <w:szCs w:val="22"/>
        </w:rPr>
        <w:t xml:space="preserve"> A fragmentação das intervenções entre as diferentes Varas do Trabalho do interior impede a concentração de resíduos em um único ponto fixo.</w:t>
      </w:r>
    </w:p>
    <w:p w14:paraId="7192E726" w14:textId="1D8DCBE9" w:rsidR="00562812" w:rsidRPr="00E27F49" w:rsidRDefault="00562812" w:rsidP="00E27F49">
      <w:pPr>
        <w:pStyle w:val="PargrafodaLista"/>
        <w:numPr>
          <w:ilvl w:val="0"/>
          <w:numId w:val="44"/>
        </w:numPr>
        <w:autoSpaceDN/>
        <w:spacing w:line="276" w:lineRule="auto"/>
        <w:jc w:val="both"/>
        <w:textAlignment w:val="auto"/>
        <w:rPr>
          <w:rFonts w:ascii="Calibri" w:hAnsi="Calibri" w:cs="Calibri"/>
          <w:sz w:val="22"/>
          <w:szCs w:val="22"/>
        </w:rPr>
      </w:pPr>
      <w:r w:rsidRPr="00E27F49">
        <w:rPr>
          <w:rFonts w:ascii="Calibri" w:hAnsi="Calibri" w:cs="Calibri"/>
          <w:b/>
          <w:bCs/>
          <w:sz w:val="22"/>
          <w:szCs w:val="22"/>
        </w:rPr>
        <w:t>Logística de</w:t>
      </w:r>
      <w:r w:rsidR="000B7DBA" w:rsidRPr="00E27F49">
        <w:rPr>
          <w:rFonts w:ascii="Calibri" w:hAnsi="Calibri" w:cs="Calibri"/>
          <w:b/>
          <w:bCs/>
          <w:sz w:val="22"/>
          <w:szCs w:val="22"/>
        </w:rPr>
        <w:t xml:space="preserve"> Recolhimento dos</w:t>
      </w:r>
      <w:r w:rsidRPr="00E27F49">
        <w:rPr>
          <w:rFonts w:ascii="Calibri" w:hAnsi="Calibri" w:cs="Calibri"/>
          <w:b/>
          <w:bCs/>
          <w:sz w:val="22"/>
          <w:szCs w:val="22"/>
        </w:rPr>
        <w:t xml:space="preserve"> Ativos:</w:t>
      </w:r>
      <w:r w:rsidRPr="00E27F49">
        <w:rPr>
          <w:rFonts w:ascii="Calibri" w:hAnsi="Calibri" w:cs="Calibri"/>
          <w:sz w:val="22"/>
          <w:szCs w:val="22"/>
        </w:rPr>
        <w:t xml:space="preserve"> Conforme o fluxo patrimonial estabelecido, os equipamentos substituídos (bens tombados) serão transportados pela logística do próprio Tribunal de volta à sede ou unidade centralizadora, não sendo caracterizados como resíduos de obra no local de execução.</w:t>
      </w:r>
    </w:p>
    <w:p w14:paraId="6BDD3C5D" w14:textId="2EAAE421" w:rsidR="006D37EE" w:rsidRPr="00E27F49" w:rsidRDefault="00562812" w:rsidP="00E27F49">
      <w:pPr>
        <w:pStyle w:val="PargrafodaLista"/>
        <w:numPr>
          <w:ilvl w:val="0"/>
          <w:numId w:val="44"/>
        </w:numPr>
        <w:autoSpaceDN/>
        <w:spacing w:line="276" w:lineRule="auto"/>
        <w:jc w:val="both"/>
        <w:textAlignment w:val="auto"/>
        <w:rPr>
          <w:rFonts w:ascii="Calibri" w:hAnsi="Calibri" w:cs="Calibri"/>
          <w:sz w:val="22"/>
          <w:szCs w:val="22"/>
        </w:rPr>
      </w:pPr>
      <w:r w:rsidRPr="00E27F49">
        <w:rPr>
          <w:rFonts w:ascii="Calibri" w:hAnsi="Calibri" w:cs="Calibri"/>
          <w:b/>
          <w:bCs/>
          <w:sz w:val="22"/>
          <w:szCs w:val="22"/>
        </w:rPr>
        <w:t>Responsabilidade Ambiental:</w:t>
      </w:r>
      <w:r w:rsidRPr="00E27F49">
        <w:rPr>
          <w:rFonts w:ascii="Calibri" w:hAnsi="Calibri" w:cs="Calibri"/>
          <w:sz w:val="22"/>
          <w:szCs w:val="22"/>
        </w:rPr>
        <w:t xml:space="preserve"> Mesmo com a dispensa formal do PGRS, a contratada permanece obrigada a manter a limpeza das frentes de serviço e a realizar a correta triagem e acondicionamento dos materiais resultantes das adequações de infraestrutura, respeitando as normas ambientais locais de cada município do interior beneficiado.</w:t>
      </w:r>
    </w:p>
    <w:p w14:paraId="7FCD739B" w14:textId="77777777" w:rsidR="00562812" w:rsidRDefault="00562812" w:rsidP="00562812">
      <w:pPr>
        <w:autoSpaceDN/>
        <w:spacing w:line="276" w:lineRule="auto"/>
        <w:ind w:left="357"/>
        <w:jc w:val="both"/>
        <w:textAlignment w:val="auto"/>
        <w:rPr>
          <w:rFonts w:ascii="Calibri" w:hAnsi="Calibri" w:cs="Calibri"/>
          <w:sz w:val="22"/>
          <w:szCs w:val="22"/>
        </w:rPr>
      </w:pPr>
    </w:p>
    <w:p w14:paraId="0F7055D4" w14:textId="77777777" w:rsidR="00BD5136" w:rsidRPr="00FA061A" w:rsidRDefault="008E187C" w:rsidP="00D87A29">
      <w:pPr>
        <w:pStyle w:val="PargrafodaLista"/>
        <w:numPr>
          <w:ilvl w:val="0"/>
          <w:numId w:val="43"/>
        </w:numPr>
        <w:tabs>
          <w:tab w:val="left" w:pos="8505"/>
        </w:tabs>
        <w:autoSpaceDN/>
        <w:spacing w:line="276" w:lineRule="auto"/>
        <w:textAlignment w:val="auto"/>
        <w:rPr>
          <w:rFonts w:ascii="Calibri" w:hAnsi="Calibri" w:cs="Calibri"/>
          <w:b/>
          <w:sz w:val="22"/>
          <w:szCs w:val="22"/>
        </w:rPr>
      </w:pPr>
      <w:r w:rsidRPr="004A2597">
        <w:rPr>
          <w:rFonts w:ascii="Calibri" w:hAnsi="Calibri" w:cs="Calibri"/>
          <w:b/>
          <w:bCs/>
          <w:sz w:val="22"/>
          <w:szCs w:val="22"/>
        </w:rPr>
        <w:t>DECLARAÇÃO DE VIABILIDADE:</w:t>
      </w:r>
      <w:r w:rsidRPr="004A2597">
        <w:rPr>
          <w:rFonts w:ascii="Calibri" w:hAnsi="Calibri" w:cs="Calibri"/>
          <w:sz w:val="22"/>
          <w:szCs w:val="22"/>
        </w:rPr>
        <w:t xml:space="preserve"> </w:t>
      </w:r>
    </w:p>
    <w:p w14:paraId="7677119A" w14:textId="4720D768" w:rsidR="000A1B6B" w:rsidRDefault="008E187C" w:rsidP="00CB73C7">
      <w:pPr>
        <w:autoSpaceDN/>
        <w:spacing w:line="276" w:lineRule="auto"/>
        <w:ind w:left="357"/>
        <w:jc w:val="both"/>
        <w:textAlignment w:val="auto"/>
        <w:rPr>
          <w:rFonts w:ascii="Calibri" w:hAnsi="Calibri" w:cs="Calibri"/>
          <w:sz w:val="22"/>
          <w:szCs w:val="22"/>
        </w:rPr>
      </w:pPr>
      <w:r w:rsidRPr="004A2597">
        <w:rPr>
          <w:rFonts w:ascii="Calibri" w:hAnsi="Calibri" w:cs="Calibri"/>
          <w:sz w:val="22"/>
          <w:szCs w:val="22"/>
        </w:rPr>
        <w:t>Por todo o exposto nesse ETP, pelo conhecimento do</w:t>
      </w:r>
      <w:r w:rsidR="00BD5136">
        <w:rPr>
          <w:rFonts w:ascii="Calibri" w:hAnsi="Calibri" w:cs="Calibri"/>
          <w:sz w:val="22"/>
          <w:szCs w:val="22"/>
        </w:rPr>
        <w:t xml:space="preserve"> m</w:t>
      </w:r>
      <w:r w:rsidRPr="004A2597">
        <w:rPr>
          <w:rFonts w:ascii="Calibri" w:hAnsi="Calibri" w:cs="Calibri"/>
          <w:sz w:val="22"/>
          <w:szCs w:val="22"/>
        </w:rPr>
        <w:t>ercado, declaramos que a</w:t>
      </w:r>
      <w:r w:rsidR="00BD5136">
        <w:rPr>
          <w:rFonts w:ascii="Calibri" w:hAnsi="Calibri" w:cs="Calibri"/>
          <w:sz w:val="22"/>
          <w:szCs w:val="22"/>
        </w:rPr>
        <w:t xml:space="preserve"> </w:t>
      </w:r>
      <w:r w:rsidRPr="004A2597">
        <w:rPr>
          <w:rFonts w:ascii="Calibri" w:hAnsi="Calibri" w:cs="Calibri"/>
          <w:sz w:val="22"/>
          <w:szCs w:val="22"/>
        </w:rPr>
        <w:t xml:space="preserve">contratação é viável. </w:t>
      </w:r>
    </w:p>
    <w:p w14:paraId="14BCDFF1" w14:textId="77777777" w:rsidR="00CB73C7" w:rsidRPr="003649AA" w:rsidRDefault="00CB73C7" w:rsidP="00CB73C7">
      <w:pPr>
        <w:autoSpaceDN/>
        <w:spacing w:line="276" w:lineRule="auto"/>
        <w:ind w:left="357"/>
        <w:jc w:val="both"/>
        <w:textAlignment w:val="auto"/>
        <w:rPr>
          <w:rFonts w:ascii="Calibri" w:hAnsi="Calibri" w:cs="Calibri"/>
          <w:sz w:val="22"/>
          <w:szCs w:val="22"/>
        </w:rPr>
      </w:pPr>
    </w:p>
    <w:p w14:paraId="50EB4AAA" w14:textId="30453B39" w:rsidR="00D96C66" w:rsidRPr="000011B8" w:rsidRDefault="00D96C66" w:rsidP="00933DAB">
      <w:pPr>
        <w:spacing w:line="276" w:lineRule="auto"/>
        <w:rPr>
          <w:rFonts w:ascii="Calibri" w:hAnsi="Calibri" w:cs="Calibri"/>
          <w:sz w:val="22"/>
          <w:szCs w:val="22"/>
          <w:lang w:eastAsia="pt-BR"/>
        </w:rPr>
      </w:pPr>
      <w:bookmarkStart w:id="5" w:name="_Hlk172103992"/>
      <w:r w:rsidRPr="00B94EAF">
        <w:rPr>
          <w:rFonts w:ascii="Calibri" w:hAnsi="Calibri" w:cs="Calibri"/>
          <w:sz w:val="22"/>
          <w:szCs w:val="22"/>
        </w:rPr>
        <w:t xml:space="preserve">Fortaleza, </w:t>
      </w:r>
      <w:r w:rsidR="00B94EAF" w:rsidRPr="00B94EAF">
        <w:rPr>
          <w:rFonts w:ascii="Calibri" w:hAnsi="Calibri" w:cs="Calibri"/>
          <w:sz w:val="22"/>
          <w:szCs w:val="22"/>
        </w:rPr>
        <w:t>06</w:t>
      </w:r>
      <w:r w:rsidRPr="00B94EAF">
        <w:rPr>
          <w:rFonts w:ascii="Calibri" w:hAnsi="Calibri" w:cs="Calibri"/>
          <w:sz w:val="22"/>
          <w:szCs w:val="22"/>
        </w:rPr>
        <w:t xml:space="preserve"> de </w:t>
      </w:r>
      <w:r w:rsidR="007042B7" w:rsidRPr="00B94EAF">
        <w:rPr>
          <w:rFonts w:ascii="Calibri" w:hAnsi="Calibri" w:cs="Calibri"/>
          <w:sz w:val="22"/>
          <w:szCs w:val="22"/>
        </w:rPr>
        <w:t>ju</w:t>
      </w:r>
      <w:r w:rsidR="00B94EAF" w:rsidRPr="00B94EAF">
        <w:rPr>
          <w:rFonts w:ascii="Calibri" w:hAnsi="Calibri" w:cs="Calibri"/>
          <w:sz w:val="22"/>
          <w:szCs w:val="22"/>
        </w:rPr>
        <w:t>l</w:t>
      </w:r>
      <w:r w:rsidR="007042B7" w:rsidRPr="00B94EAF">
        <w:rPr>
          <w:rFonts w:ascii="Calibri" w:hAnsi="Calibri" w:cs="Calibri"/>
          <w:sz w:val="22"/>
          <w:szCs w:val="22"/>
        </w:rPr>
        <w:t>ho</w:t>
      </w:r>
      <w:r w:rsidRPr="00B94EAF">
        <w:rPr>
          <w:rFonts w:ascii="Calibri" w:hAnsi="Calibri" w:cs="Calibri"/>
          <w:sz w:val="22"/>
          <w:szCs w:val="22"/>
        </w:rPr>
        <w:t xml:space="preserve"> de 202</w:t>
      </w:r>
      <w:r w:rsidR="009C776F" w:rsidRPr="00B94EAF">
        <w:rPr>
          <w:rFonts w:ascii="Calibri" w:hAnsi="Calibri" w:cs="Calibri"/>
          <w:sz w:val="22"/>
          <w:szCs w:val="22"/>
        </w:rPr>
        <w:t>6</w:t>
      </w:r>
      <w:r w:rsidRPr="00B94EAF">
        <w:rPr>
          <w:rFonts w:ascii="Calibri" w:hAnsi="Calibri" w:cs="Calibri"/>
          <w:sz w:val="22"/>
          <w:szCs w:val="22"/>
        </w:rPr>
        <w:t>.</w:t>
      </w:r>
    </w:p>
    <w:p w14:paraId="74CEBE36" w14:textId="77777777" w:rsidR="00254F4B" w:rsidRDefault="00254F4B" w:rsidP="00250217">
      <w:pPr>
        <w:spacing w:line="276" w:lineRule="auto"/>
        <w:jc w:val="both"/>
        <w:rPr>
          <w:rFonts w:ascii="Calibri" w:hAnsi="Calibri" w:cs="Calibri"/>
          <w:b/>
          <w:sz w:val="22"/>
          <w:szCs w:val="22"/>
        </w:rPr>
      </w:pPr>
      <w:bookmarkStart w:id="6" w:name="_Hlk207871622"/>
    </w:p>
    <w:p w14:paraId="2C6323DA" w14:textId="77777777" w:rsidR="00254F4B" w:rsidRDefault="00254F4B" w:rsidP="00250217">
      <w:pPr>
        <w:spacing w:line="276" w:lineRule="auto"/>
        <w:jc w:val="both"/>
        <w:rPr>
          <w:rFonts w:ascii="Calibri" w:hAnsi="Calibri" w:cs="Calibri"/>
          <w:b/>
          <w:sz w:val="22"/>
          <w:szCs w:val="22"/>
        </w:rPr>
      </w:pPr>
    </w:p>
    <w:p w14:paraId="6FC400BA" w14:textId="3A641414" w:rsidR="00D96C66" w:rsidRPr="000011B8" w:rsidRDefault="00D92EF1" w:rsidP="00250217">
      <w:pPr>
        <w:spacing w:line="276" w:lineRule="auto"/>
        <w:jc w:val="both"/>
        <w:rPr>
          <w:rFonts w:ascii="Calibri" w:hAnsi="Calibri" w:cs="Calibri"/>
          <w:b/>
          <w:sz w:val="22"/>
          <w:szCs w:val="22"/>
        </w:rPr>
      </w:pPr>
      <w:r>
        <w:rPr>
          <w:rFonts w:ascii="Calibri" w:hAnsi="Calibri" w:cs="Calibri"/>
          <w:b/>
          <w:sz w:val="22"/>
          <w:szCs w:val="22"/>
        </w:rPr>
        <w:t>PAULO BRASILEIRO PIRES FREIRE</w:t>
      </w:r>
    </w:p>
    <w:p w14:paraId="7113BC57" w14:textId="2DF5A4B5" w:rsidR="00D92EF1" w:rsidRDefault="00D92EF1" w:rsidP="00250217">
      <w:pPr>
        <w:spacing w:line="276" w:lineRule="auto"/>
        <w:jc w:val="both"/>
        <w:rPr>
          <w:rFonts w:ascii="Calibri" w:hAnsi="Calibri" w:cs="Calibri"/>
          <w:sz w:val="22"/>
          <w:szCs w:val="22"/>
        </w:rPr>
      </w:pPr>
      <w:r>
        <w:rPr>
          <w:rFonts w:ascii="Calibri" w:hAnsi="Calibri" w:cs="Calibri"/>
          <w:sz w:val="22"/>
          <w:szCs w:val="22"/>
        </w:rPr>
        <w:t xml:space="preserve">Coordenadoria de </w:t>
      </w:r>
      <w:r w:rsidR="008D2646">
        <w:rPr>
          <w:rFonts w:ascii="Calibri" w:hAnsi="Calibri" w:cs="Calibri"/>
          <w:sz w:val="22"/>
          <w:szCs w:val="22"/>
        </w:rPr>
        <w:t>Manutenção</w:t>
      </w:r>
    </w:p>
    <w:p w14:paraId="4D5CE0D2" w14:textId="5402235E" w:rsidR="00D96C66" w:rsidRDefault="00D96C66" w:rsidP="00250217">
      <w:pPr>
        <w:spacing w:line="276" w:lineRule="auto"/>
        <w:jc w:val="both"/>
        <w:rPr>
          <w:rFonts w:ascii="Calibri" w:hAnsi="Calibri" w:cs="Calibri"/>
          <w:sz w:val="22"/>
          <w:szCs w:val="22"/>
        </w:rPr>
      </w:pPr>
      <w:r w:rsidRPr="000011B8">
        <w:rPr>
          <w:rFonts w:ascii="Calibri" w:hAnsi="Calibri" w:cs="Calibri"/>
          <w:sz w:val="22"/>
          <w:szCs w:val="22"/>
        </w:rPr>
        <w:t>Analista Judiciário TRT 7ª Região</w:t>
      </w:r>
      <w:bookmarkEnd w:id="5"/>
    </w:p>
    <w:p w14:paraId="37215826" w14:textId="77777777" w:rsidR="003477F4" w:rsidRDefault="003477F4" w:rsidP="00250217">
      <w:pPr>
        <w:spacing w:line="276" w:lineRule="auto"/>
        <w:jc w:val="both"/>
        <w:rPr>
          <w:rFonts w:ascii="Calibri" w:hAnsi="Calibri" w:cs="Calibri"/>
          <w:sz w:val="22"/>
          <w:szCs w:val="22"/>
        </w:rPr>
      </w:pPr>
    </w:p>
    <w:p w14:paraId="3E86D9DE" w14:textId="77777777" w:rsidR="00504BCB" w:rsidRDefault="00504BCB" w:rsidP="00250217">
      <w:pPr>
        <w:spacing w:line="276" w:lineRule="auto"/>
        <w:jc w:val="both"/>
        <w:rPr>
          <w:rFonts w:ascii="Calibri" w:hAnsi="Calibri" w:cs="Calibri"/>
          <w:b/>
          <w:sz w:val="22"/>
          <w:szCs w:val="22"/>
        </w:rPr>
      </w:pPr>
    </w:p>
    <w:p w14:paraId="4AE94102" w14:textId="1278C76A" w:rsidR="003477F4" w:rsidRPr="000011B8" w:rsidRDefault="000B7DBA" w:rsidP="00250217">
      <w:pPr>
        <w:spacing w:line="276" w:lineRule="auto"/>
        <w:jc w:val="both"/>
        <w:rPr>
          <w:rFonts w:ascii="Calibri" w:hAnsi="Calibri" w:cs="Calibri"/>
          <w:b/>
          <w:sz w:val="22"/>
          <w:szCs w:val="22"/>
        </w:rPr>
      </w:pPr>
      <w:r>
        <w:rPr>
          <w:rFonts w:ascii="Calibri" w:hAnsi="Calibri" w:cs="Calibri"/>
          <w:b/>
          <w:sz w:val="22"/>
          <w:szCs w:val="22"/>
        </w:rPr>
        <w:t>ANDRÉ LUIZ FIRMINO GONZAGA</w:t>
      </w:r>
    </w:p>
    <w:p w14:paraId="716FC67C" w14:textId="26484468" w:rsidR="003477F4" w:rsidRDefault="00CB73C7" w:rsidP="00250217">
      <w:pPr>
        <w:spacing w:line="276" w:lineRule="auto"/>
        <w:jc w:val="both"/>
        <w:rPr>
          <w:rFonts w:ascii="Calibri" w:hAnsi="Calibri" w:cs="Calibri"/>
          <w:sz w:val="22"/>
          <w:szCs w:val="22"/>
        </w:rPr>
      </w:pPr>
      <w:r>
        <w:rPr>
          <w:rFonts w:ascii="Calibri" w:hAnsi="Calibri" w:cs="Calibri"/>
          <w:sz w:val="22"/>
          <w:szCs w:val="22"/>
        </w:rPr>
        <w:t xml:space="preserve">Diretor da </w:t>
      </w:r>
      <w:r w:rsidR="00254F4B">
        <w:rPr>
          <w:rFonts w:ascii="Calibri" w:hAnsi="Calibri" w:cs="Calibri"/>
          <w:sz w:val="22"/>
          <w:szCs w:val="22"/>
        </w:rPr>
        <w:t xml:space="preserve">Coordenadoria de </w:t>
      </w:r>
      <w:r w:rsidR="000B7DBA">
        <w:rPr>
          <w:rFonts w:ascii="Calibri" w:hAnsi="Calibri" w:cs="Calibri"/>
          <w:sz w:val="22"/>
          <w:szCs w:val="22"/>
        </w:rPr>
        <w:t>Manutenção</w:t>
      </w:r>
      <w:bookmarkEnd w:id="6"/>
    </w:p>
    <w:sectPr w:rsidR="003477F4" w:rsidSect="00E300E7">
      <w:headerReference w:type="default" r:id="rId10"/>
      <w:footerReference w:type="default" r:id="rId11"/>
      <w:pgSz w:w="11906" w:h="16838"/>
      <w:pgMar w:top="993" w:right="1700" w:bottom="1702"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96663" w14:textId="77777777" w:rsidR="00056343" w:rsidRDefault="00056343" w:rsidP="005A0ABD">
      <w:r>
        <w:separator/>
      </w:r>
    </w:p>
  </w:endnote>
  <w:endnote w:type="continuationSeparator" w:id="0">
    <w:p w14:paraId="45F95B77" w14:textId="77777777" w:rsidR="00056343" w:rsidRDefault="00056343" w:rsidP="005A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G Times">
    <w:panose1 w:val="020206030504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Ecofont_Spranq_eco_Sans">
    <w:altName w:val="Arial"/>
    <w:charset w:val="00"/>
    <w:family w:val="swiss"/>
    <w:pitch w:val="variable"/>
  </w:font>
  <w:font w:name="Caladea">
    <w:panose1 w:val="02000506000000020000"/>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5C37" w14:textId="77777777" w:rsidR="005228F3" w:rsidRPr="00042F03" w:rsidRDefault="00A749A7">
    <w:pPr>
      <w:pStyle w:val="Rodap"/>
      <w:jc w:val="center"/>
      <w:rPr>
        <w:rFonts w:asciiTheme="minorHAnsi" w:hAnsiTheme="minorHAnsi" w:cstheme="minorHAnsi"/>
        <w:iCs/>
      </w:rPr>
    </w:pPr>
    <w:r w:rsidRPr="00042F03">
      <w:rPr>
        <w:rStyle w:val="Nmerodepgina"/>
        <w:rFonts w:asciiTheme="minorHAnsi" w:hAnsiTheme="minorHAnsi" w:cstheme="minorHAnsi"/>
        <w:iCs/>
      </w:rPr>
      <w:fldChar w:fldCharType="begin"/>
    </w:r>
    <w:r w:rsidR="005228F3" w:rsidRPr="00042F03">
      <w:rPr>
        <w:rStyle w:val="Nmerodepgina"/>
        <w:rFonts w:asciiTheme="minorHAnsi" w:hAnsiTheme="minorHAnsi" w:cstheme="minorHAnsi"/>
        <w:iCs/>
      </w:rPr>
      <w:instrText xml:space="preserve"> PAGE </w:instrText>
    </w:r>
    <w:r w:rsidRPr="00042F03">
      <w:rPr>
        <w:rStyle w:val="Nmerodepgina"/>
        <w:rFonts w:asciiTheme="minorHAnsi" w:hAnsiTheme="minorHAnsi" w:cstheme="minorHAnsi"/>
        <w:iCs/>
      </w:rPr>
      <w:fldChar w:fldCharType="separate"/>
    </w:r>
    <w:r w:rsidR="00233388" w:rsidRPr="00042F03">
      <w:rPr>
        <w:rStyle w:val="Nmerodepgina"/>
        <w:rFonts w:asciiTheme="minorHAnsi" w:hAnsiTheme="minorHAnsi" w:cstheme="minorHAnsi"/>
        <w:iCs/>
        <w:noProof/>
      </w:rPr>
      <w:t>3</w:t>
    </w:r>
    <w:r w:rsidRPr="00042F03">
      <w:rPr>
        <w:rStyle w:val="Nmerodepgina"/>
        <w:rFonts w:asciiTheme="minorHAnsi"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9DA6" w14:textId="77777777" w:rsidR="00056343" w:rsidRDefault="00056343" w:rsidP="005A0ABD">
      <w:r w:rsidRPr="005A0ABD">
        <w:rPr>
          <w:color w:val="000000"/>
        </w:rPr>
        <w:separator/>
      </w:r>
    </w:p>
  </w:footnote>
  <w:footnote w:type="continuationSeparator" w:id="0">
    <w:p w14:paraId="169067F6" w14:textId="77777777" w:rsidR="00056343" w:rsidRDefault="00056343" w:rsidP="005A0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D20E" w14:textId="2EF1C6B4" w:rsidR="00ED7075" w:rsidRDefault="00ED7075" w:rsidP="00ED7075">
    <w:pPr>
      <w:ind w:right="49"/>
      <w:jc w:val="center"/>
      <w:rPr>
        <w:noProof/>
      </w:rPr>
    </w:pPr>
    <w:r w:rsidRPr="009C210A">
      <w:rPr>
        <w:noProof/>
      </w:rPr>
      <w:drawing>
        <wp:inline distT="0" distB="0" distL="0" distR="0" wp14:anchorId="5D9FBA9C" wp14:editId="16E50F5F">
          <wp:extent cx="2686050" cy="771525"/>
          <wp:effectExtent l="0" t="0" r="0" b="0"/>
          <wp:docPr id="18218143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l="9152" t="13049" r="54582" b="68672"/>
                  <a:stretch>
                    <a:fillRect/>
                  </a:stretch>
                </pic:blipFill>
                <pic:spPr bwMode="auto">
                  <a:xfrm>
                    <a:off x="0" y="0"/>
                    <a:ext cx="2686050" cy="771525"/>
                  </a:xfrm>
                  <a:prstGeom prst="rect">
                    <a:avLst/>
                  </a:prstGeom>
                  <a:noFill/>
                  <a:ln>
                    <a:noFill/>
                  </a:ln>
                </pic:spPr>
              </pic:pic>
            </a:graphicData>
          </a:graphic>
        </wp:inline>
      </w:drawing>
    </w:r>
  </w:p>
  <w:p w14:paraId="70DDC129" w14:textId="21749741" w:rsidR="00ED7075" w:rsidRPr="0006699F" w:rsidRDefault="00ED7075" w:rsidP="00ED7075">
    <w:pPr>
      <w:jc w:val="center"/>
      <w:rPr>
        <w:rFonts w:ascii="Arial" w:hAnsi="Arial" w:cs="Arial"/>
        <w:b/>
        <w:color w:val="808080"/>
        <w:sz w:val="22"/>
        <w:szCs w:val="22"/>
      </w:rPr>
    </w:pPr>
    <w:r>
      <w:rPr>
        <w:rFonts w:ascii="Arial" w:hAnsi="Arial" w:cs="Arial"/>
        <w:b/>
        <w:color w:val="808080"/>
        <w:sz w:val="22"/>
        <w:szCs w:val="22"/>
      </w:rPr>
      <w:t>COORDENADORIA DE MA</w:t>
    </w:r>
    <w:r w:rsidR="002D3688">
      <w:rPr>
        <w:rFonts w:ascii="Arial" w:hAnsi="Arial" w:cs="Arial"/>
        <w:b/>
        <w:color w:val="808080"/>
        <w:sz w:val="22"/>
        <w:szCs w:val="22"/>
      </w:rPr>
      <w:t>NUTENÇÃO</w:t>
    </w:r>
  </w:p>
  <w:p w14:paraId="7F783284" w14:textId="0E2EA80E" w:rsidR="00ED7075" w:rsidRDefault="00ED7075" w:rsidP="00ED7075">
    <w:pPr>
      <w:pStyle w:val="Cabealho"/>
      <w:jc w:val="center"/>
    </w:pPr>
  </w:p>
  <w:p w14:paraId="2447E866" w14:textId="77777777" w:rsidR="005228F3" w:rsidRDefault="00522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lvl w:ilvl="0">
      <w:start w:val="5"/>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00000007"/>
    <w:lvl w:ilvl="0">
      <w:start w:val="7"/>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lvl w:ilvl="0">
      <w:start w:val="8"/>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B"/>
    <w:multiLevelType w:val="multilevel"/>
    <w:tmpl w:val="0000000B"/>
    <w:lvl w:ilvl="0">
      <w:start w:val="10"/>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E"/>
    <w:multiLevelType w:val="multilevel"/>
    <w:tmpl w:val="0000000E"/>
    <w:lvl w:ilvl="0">
      <w:start w:val="12"/>
      <w:numFmt w:val="decimal"/>
      <w:lvlText w:val="%1."/>
      <w:lvlJc w:val="left"/>
      <w:pPr>
        <w:tabs>
          <w:tab w:val="num" w:pos="720"/>
        </w:tabs>
        <w:ind w:left="720" w:hanging="360"/>
      </w:pPr>
      <w:rPr>
        <w:rFonts w:ascii="Arial" w:hAnsi="Arial" w:cs="Arial"/>
        <w:shd w:val="clear" w:color="auto" w:fill="FFFFF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110101"/>
    <w:multiLevelType w:val="hybridMultilevel"/>
    <w:tmpl w:val="52A608B0"/>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9" w15:restartNumberingAfterBreak="0">
    <w:nsid w:val="04A0288A"/>
    <w:multiLevelType w:val="multilevel"/>
    <w:tmpl w:val="E802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DA1B99"/>
    <w:multiLevelType w:val="multilevel"/>
    <w:tmpl w:val="4614C4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FF3A18"/>
    <w:multiLevelType w:val="multilevel"/>
    <w:tmpl w:val="CA8E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064088"/>
    <w:multiLevelType w:val="hybridMultilevel"/>
    <w:tmpl w:val="731EE50C"/>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3" w15:restartNumberingAfterBreak="0">
    <w:nsid w:val="06F938AE"/>
    <w:multiLevelType w:val="multilevel"/>
    <w:tmpl w:val="51EE85DC"/>
    <w:lvl w:ilvl="0">
      <w:numFmt w:val="bullet"/>
      <w:lvlText w:val=""/>
      <w:lvlJc w:val="left"/>
      <w:pPr>
        <w:ind w:left="720" w:hanging="360"/>
      </w:pPr>
      <w:rPr>
        <w:rFonts w:ascii="Symbol" w:hAnsi="Symbol" w:cs="Arial"/>
        <w:b/>
        <w:sz w:val="22"/>
        <w:szCs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Arial"/>
        <w:b/>
        <w:sz w:val="22"/>
        <w:szCs w:val="22"/>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Arial"/>
        <w:b/>
        <w:sz w:val="22"/>
        <w:szCs w:val="22"/>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4" w15:restartNumberingAfterBreak="0">
    <w:nsid w:val="0D6D409B"/>
    <w:multiLevelType w:val="hybridMultilevel"/>
    <w:tmpl w:val="892CF7DA"/>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5" w15:restartNumberingAfterBreak="0">
    <w:nsid w:val="0FDF0DA5"/>
    <w:multiLevelType w:val="multilevel"/>
    <w:tmpl w:val="6EE6E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6F06E0"/>
    <w:multiLevelType w:val="multilevel"/>
    <w:tmpl w:val="EB20CBEE"/>
    <w:styleLink w:val="LFO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B6D5A19"/>
    <w:multiLevelType w:val="multilevel"/>
    <w:tmpl w:val="3ED4C1B2"/>
    <w:lvl w:ilvl="0">
      <w:start w:val="4"/>
      <w:numFmt w:val="decimal"/>
      <w:lvlText w:val="%1."/>
      <w:lvlJc w:val="left"/>
      <w:pPr>
        <w:ind w:left="360" w:hanging="360"/>
      </w:pPr>
      <w:rPr>
        <w:rFonts w:hint="default"/>
        <w:b/>
        <w:bCs/>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550905"/>
    <w:multiLevelType w:val="multilevel"/>
    <w:tmpl w:val="7F4C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EF5486"/>
    <w:multiLevelType w:val="multilevel"/>
    <w:tmpl w:val="A6D85584"/>
    <w:lvl w:ilvl="0">
      <w:start w:val="1"/>
      <w:numFmt w:val="decimal"/>
      <w:lvlText w:val="%1."/>
      <w:lvlJc w:val="left"/>
      <w:pPr>
        <w:ind w:left="360" w:hanging="360"/>
      </w:pPr>
      <w:rPr>
        <w:b/>
      </w:rPr>
    </w:lvl>
    <w:lvl w:ilvl="1">
      <w:start w:val="1"/>
      <w:numFmt w:val="decimal"/>
      <w:lvlText w:val="%1.%2."/>
      <w:lvlJc w:val="left"/>
      <w:pPr>
        <w:ind w:left="792" w:hanging="432"/>
      </w:pPr>
      <w:rPr>
        <w:b/>
        <w:bCs/>
        <w:color w:val="auto"/>
      </w:rPr>
    </w:lvl>
    <w:lvl w:ilvl="2">
      <w:start w:val="1"/>
      <w:numFmt w:val="decimal"/>
      <w:lvlText w:val="%1.%2.%3."/>
      <w:lvlJc w:val="left"/>
      <w:pPr>
        <w:ind w:left="1497"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F26E8"/>
    <w:multiLevelType w:val="hybridMultilevel"/>
    <w:tmpl w:val="7A2C57AE"/>
    <w:lvl w:ilvl="0" w:tplc="9F0C37AE">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1A67CFA"/>
    <w:multiLevelType w:val="multilevel"/>
    <w:tmpl w:val="8698F2D2"/>
    <w:lvl w:ilvl="0">
      <w:start w:val="4"/>
      <w:numFmt w:val="decimal"/>
      <w:lvlText w:val="%1."/>
      <w:lvlJc w:val="left"/>
      <w:pPr>
        <w:ind w:left="360" w:hanging="360"/>
      </w:pPr>
      <w:rPr>
        <w:rFonts w:hint="default"/>
        <w:b/>
        <w:bCs/>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B277C7B"/>
    <w:multiLevelType w:val="hybridMultilevel"/>
    <w:tmpl w:val="870E8ED0"/>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3" w15:restartNumberingAfterBreak="0">
    <w:nsid w:val="3E5C040C"/>
    <w:multiLevelType w:val="multilevel"/>
    <w:tmpl w:val="5B3809B0"/>
    <w:lvl w:ilvl="0">
      <w:start w:val="4"/>
      <w:numFmt w:val="decimal"/>
      <w:lvlText w:val="%1."/>
      <w:lvlJc w:val="left"/>
      <w:pPr>
        <w:ind w:left="360" w:hanging="360"/>
      </w:pPr>
      <w:rPr>
        <w:rFonts w:hint="default"/>
        <w:b/>
        <w:bCs/>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C62C12"/>
    <w:multiLevelType w:val="multilevel"/>
    <w:tmpl w:val="85F825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6106A6"/>
    <w:multiLevelType w:val="hybridMultilevel"/>
    <w:tmpl w:val="B4EEC506"/>
    <w:lvl w:ilvl="0" w:tplc="1EB0AD92">
      <w:start w:val="1"/>
      <w:numFmt w:val="lowerLetter"/>
      <w:lvlText w:val="%1)"/>
      <w:lvlJc w:val="left"/>
      <w:pPr>
        <w:ind w:left="1512" w:hanging="360"/>
      </w:pPr>
      <w:rPr>
        <w:b w:val="0"/>
        <w:bCs w:val="0"/>
      </w:r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26" w15:restartNumberingAfterBreak="0">
    <w:nsid w:val="482C0642"/>
    <w:multiLevelType w:val="hybridMultilevel"/>
    <w:tmpl w:val="936C0A68"/>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7" w15:restartNumberingAfterBreak="0">
    <w:nsid w:val="4CE06E6B"/>
    <w:multiLevelType w:val="multilevel"/>
    <w:tmpl w:val="A724C1F8"/>
    <w:lvl w:ilvl="0">
      <w:start w:val="1"/>
      <w:numFmt w:val="decimal"/>
      <w:lvlText w:val="%1"/>
      <w:lvlJc w:val="left"/>
      <w:pPr>
        <w:ind w:left="360" w:hanging="360"/>
      </w:pPr>
      <w:rPr>
        <w:rFonts w:ascii="Calibri" w:hAnsi="Calibri"/>
        <w:b/>
        <w:color w:val="auto"/>
        <w:sz w:val="22"/>
        <w:szCs w:val="22"/>
      </w:rPr>
    </w:lvl>
    <w:lvl w:ilvl="1">
      <w:start w:val="1"/>
      <w:numFmt w:val="decimal"/>
      <w:lvlText w:val="%1.%2"/>
      <w:lvlJc w:val="left"/>
      <w:pPr>
        <w:ind w:left="360" w:hanging="360"/>
      </w:pPr>
      <w:rPr>
        <w:rFonts w:ascii="Calibri" w:hAnsi="Calibri"/>
        <w:b/>
        <w:i w:val="0"/>
        <w:color w:val="auto"/>
        <w:sz w:val="22"/>
        <w:szCs w:val="22"/>
      </w:rPr>
    </w:lvl>
    <w:lvl w:ilvl="2">
      <w:start w:val="1"/>
      <w:numFmt w:val="decimal"/>
      <w:lvlText w:val="%1.%2.%3"/>
      <w:lvlJc w:val="left"/>
      <w:pPr>
        <w:ind w:left="720" w:hanging="720"/>
      </w:pPr>
      <w:rPr>
        <w:rFonts w:ascii="Calibri" w:hAnsi="Calibri"/>
        <w:b/>
        <w:color w:val="auto"/>
        <w:sz w:val="22"/>
        <w:szCs w:val="22"/>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28" w15:restartNumberingAfterBreak="0">
    <w:nsid w:val="4E4338E2"/>
    <w:multiLevelType w:val="hybridMultilevel"/>
    <w:tmpl w:val="1090D50A"/>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9" w15:restartNumberingAfterBreak="0">
    <w:nsid w:val="549E694D"/>
    <w:multiLevelType w:val="multilevel"/>
    <w:tmpl w:val="2AAA16EE"/>
    <w:lvl w:ilvl="0">
      <w:start w:val="6"/>
      <w:numFmt w:val="decimal"/>
      <w:lvlText w:val="%1."/>
      <w:lvlJc w:val="left"/>
      <w:pPr>
        <w:ind w:left="360" w:hanging="360"/>
      </w:pPr>
      <w:rPr>
        <w:rFonts w:hint="default"/>
        <w:b/>
        <w:bCs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5F3060F"/>
    <w:multiLevelType w:val="hybridMultilevel"/>
    <w:tmpl w:val="33105980"/>
    <w:lvl w:ilvl="0" w:tplc="1CF8C3AC">
      <w:numFmt w:val="bullet"/>
      <w:lvlText w:val="●"/>
      <w:lvlJc w:val="left"/>
      <w:pPr>
        <w:ind w:left="1002" w:hanging="360"/>
      </w:pPr>
      <w:rPr>
        <w:rFonts w:ascii="Microsoft Sans Serif" w:eastAsia="Microsoft Sans Serif" w:hAnsi="Microsoft Sans Serif" w:cs="Microsoft Sans Serif" w:hint="default"/>
        <w:b w:val="0"/>
        <w:bCs w:val="0"/>
        <w:i w:val="0"/>
        <w:iCs w:val="0"/>
        <w:spacing w:val="0"/>
        <w:w w:val="99"/>
        <w:sz w:val="24"/>
        <w:szCs w:val="24"/>
        <w:lang w:val="pt-PT" w:eastAsia="en-US" w:bidi="ar-SA"/>
      </w:rPr>
    </w:lvl>
    <w:lvl w:ilvl="1" w:tplc="41524172">
      <w:numFmt w:val="bullet"/>
      <w:lvlText w:val="•"/>
      <w:lvlJc w:val="left"/>
      <w:pPr>
        <w:ind w:left="1948" w:hanging="360"/>
      </w:pPr>
      <w:rPr>
        <w:rFonts w:hint="default"/>
        <w:lang w:val="pt-PT" w:eastAsia="en-US" w:bidi="ar-SA"/>
      </w:rPr>
    </w:lvl>
    <w:lvl w:ilvl="2" w:tplc="455C5AB8">
      <w:numFmt w:val="bullet"/>
      <w:lvlText w:val="•"/>
      <w:lvlJc w:val="left"/>
      <w:pPr>
        <w:ind w:left="2896" w:hanging="360"/>
      </w:pPr>
      <w:rPr>
        <w:rFonts w:hint="default"/>
        <w:lang w:val="pt-PT" w:eastAsia="en-US" w:bidi="ar-SA"/>
      </w:rPr>
    </w:lvl>
    <w:lvl w:ilvl="3" w:tplc="B1D47FC8">
      <w:numFmt w:val="bullet"/>
      <w:lvlText w:val="•"/>
      <w:lvlJc w:val="left"/>
      <w:pPr>
        <w:ind w:left="3844" w:hanging="360"/>
      </w:pPr>
      <w:rPr>
        <w:rFonts w:hint="default"/>
        <w:lang w:val="pt-PT" w:eastAsia="en-US" w:bidi="ar-SA"/>
      </w:rPr>
    </w:lvl>
    <w:lvl w:ilvl="4" w:tplc="C4545C34">
      <w:numFmt w:val="bullet"/>
      <w:lvlText w:val="•"/>
      <w:lvlJc w:val="left"/>
      <w:pPr>
        <w:ind w:left="4793" w:hanging="360"/>
      </w:pPr>
      <w:rPr>
        <w:rFonts w:hint="default"/>
        <w:lang w:val="pt-PT" w:eastAsia="en-US" w:bidi="ar-SA"/>
      </w:rPr>
    </w:lvl>
    <w:lvl w:ilvl="5" w:tplc="ACC20E40">
      <w:numFmt w:val="bullet"/>
      <w:lvlText w:val="•"/>
      <w:lvlJc w:val="left"/>
      <w:pPr>
        <w:ind w:left="5741" w:hanging="360"/>
      </w:pPr>
      <w:rPr>
        <w:rFonts w:hint="default"/>
        <w:lang w:val="pt-PT" w:eastAsia="en-US" w:bidi="ar-SA"/>
      </w:rPr>
    </w:lvl>
    <w:lvl w:ilvl="6" w:tplc="ED742DE2">
      <w:numFmt w:val="bullet"/>
      <w:lvlText w:val="•"/>
      <w:lvlJc w:val="left"/>
      <w:pPr>
        <w:ind w:left="6689" w:hanging="360"/>
      </w:pPr>
      <w:rPr>
        <w:rFonts w:hint="default"/>
        <w:lang w:val="pt-PT" w:eastAsia="en-US" w:bidi="ar-SA"/>
      </w:rPr>
    </w:lvl>
    <w:lvl w:ilvl="7" w:tplc="9B00DF88">
      <w:numFmt w:val="bullet"/>
      <w:lvlText w:val="•"/>
      <w:lvlJc w:val="left"/>
      <w:pPr>
        <w:ind w:left="7638" w:hanging="360"/>
      </w:pPr>
      <w:rPr>
        <w:rFonts w:hint="default"/>
        <w:lang w:val="pt-PT" w:eastAsia="en-US" w:bidi="ar-SA"/>
      </w:rPr>
    </w:lvl>
    <w:lvl w:ilvl="8" w:tplc="24229BB0">
      <w:numFmt w:val="bullet"/>
      <w:lvlText w:val="•"/>
      <w:lvlJc w:val="left"/>
      <w:pPr>
        <w:ind w:left="8586" w:hanging="360"/>
      </w:pPr>
      <w:rPr>
        <w:rFonts w:hint="default"/>
        <w:lang w:val="pt-PT" w:eastAsia="en-US" w:bidi="ar-SA"/>
      </w:rPr>
    </w:lvl>
  </w:abstractNum>
  <w:abstractNum w:abstractNumId="31" w15:restartNumberingAfterBreak="0">
    <w:nsid w:val="563B6007"/>
    <w:multiLevelType w:val="multilevel"/>
    <w:tmpl w:val="7A30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1A0A24"/>
    <w:multiLevelType w:val="multilevel"/>
    <w:tmpl w:val="7F6A97F0"/>
    <w:lvl w:ilvl="0">
      <w:start w:val="2"/>
      <w:numFmt w:val="decimal"/>
      <w:lvlText w:val="%1."/>
      <w:lvlJc w:val="left"/>
      <w:pPr>
        <w:ind w:left="360" w:hanging="360"/>
      </w:pPr>
      <w:rPr>
        <w:b w:val="0"/>
      </w:rPr>
    </w:lvl>
    <w:lvl w:ilvl="1">
      <w:start w:val="1"/>
      <w:numFmt w:val="decimal"/>
      <w:lvlText w:val="%1.%2."/>
      <w:lvlJc w:val="left"/>
      <w:pPr>
        <w:ind w:left="360" w:hanging="360"/>
      </w:pPr>
      <w:rPr>
        <w:rFonts w:ascii="Calibri" w:hAnsi="Calibri"/>
        <w:sz w:val="22"/>
        <w:szCs w:val="22"/>
      </w:r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604464FA"/>
    <w:multiLevelType w:val="multilevel"/>
    <w:tmpl w:val="44000AE0"/>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4" w15:restartNumberingAfterBreak="0">
    <w:nsid w:val="62A466FF"/>
    <w:multiLevelType w:val="hybridMultilevel"/>
    <w:tmpl w:val="27A684E0"/>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5" w15:restartNumberingAfterBreak="0">
    <w:nsid w:val="638536DB"/>
    <w:multiLevelType w:val="multilevel"/>
    <w:tmpl w:val="596C0A7E"/>
    <w:lvl w:ilvl="0">
      <w:start w:val="1"/>
      <w:numFmt w:val="decimal"/>
      <w:lvlText w:val="%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42E1638"/>
    <w:multiLevelType w:val="hybridMultilevel"/>
    <w:tmpl w:val="223EF6C6"/>
    <w:lvl w:ilvl="0" w:tplc="0416000B">
      <w:start w:val="1"/>
      <w:numFmt w:val="bullet"/>
      <w:lvlText w:val=""/>
      <w:lvlJc w:val="left"/>
      <w:pPr>
        <w:ind w:left="1077" w:hanging="360"/>
      </w:pPr>
      <w:rPr>
        <w:rFonts w:ascii="Wingdings" w:hAnsi="Wingdings"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37" w15:restartNumberingAfterBreak="0">
    <w:nsid w:val="65F4095D"/>
    <w:multiLevelType w:val="multilevel"/>
    <w:tmpl w:val="CFBE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30149E"/>
    <w:multiLevelType w:val="multilevel"/>
    <w:tmpl w:val="417C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82E0A"/>
    <w:multiLevelType w:val="multilevel"/>
    <w:tmpl w:val="DB086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FA28D2"/>
    <w:multiLevelType w:val="hybridMultilevel"/>
    <w:tmpl w:val="61B01F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AB212A"/>
    <w:multiLevelType w:val="multilevel"/>
    <w:tmpl w:val="18B40840"/>
    <w:styleLink w:val="LFO6"/>
    <w:lvl w:ilvl="0">
      <w:start w:val="1"/>
      <w:numFmt w:val="decimal"/>
      <w:pStyle w:val="Nivel5"/>
      <w:lvlText w:val="%1."/>
      <w:lvlJc w:val="left"/>
      <w:pPr>
        <w:ind w:left="502" w:hanging="360"/>
      </w:pPr>
      <w:rPr>
        <w:rFonts w:cs="Times New Roman"/>
        <w:b/>
        <w:i w:val="0"/>
        <w:strike w:val="0"/>
        <w:dstrike w:val="0"/>
      </w:rPr>
    </w:lvl>
    <w:lvl w:ilvl="1">
      <w:start w:val="1"/>
      <w:numFmt w:val="decimal"/>
      <w:lvlText w:val="%1.%2."/>
      <w:lvlJc w:val="left"/>
      <w:pPr>
        <w:ind w:left="858" w:hanging="432"/>
      </w:pPr>
      <w:rPr>
        <w:rFonts w:cs="Times New Roman"/>
        <w:b w:val="0"/>
        <w:strike w:val="0"/>
        <w:dstrike w:val="0"/>
      </w:rPr>
    </w:lvl>
    <w:lvl w:ilvl="2">
      <w:start w:val="1"/>
      <w:numFmt w:val="decimal"/>
      <w:lvlText w:val="%1.%2.%3."/>
      <w:lvlJc w:val="left"/>
      <w:pPr>
        <w:ind w:left="1224" w:hanging="504"/>
      </w:pPr>
      <w:rPr>
        <w:rFonts w:cs="Times New Roman"/>
        <w:i w:val="0"/>
        <w:strike w:val="0"/>
        <w:dstrike w:val="0"/>
      </w:rPr>
    </w:lvl>
    <w:lvl w:ilvl="3">
      <w:start w:val="1"/>
      <w:numFmt w:val="decimal"/>
      <w:lvlText w:val="%1.%2.%3.%4."/>
      <w:lvlJc w:val="left"/>
      <w:pPr>
        <w:ind w:left="1728" w:hanging="648"/>
      </w:pPr>
      <w:rPr>
        <w:rFonts w:cs="Times New Roman"/>
      </w:rPr>
    </w:lvl>
    <w:lvl w:ilvl="4">
      <w:start w:val="1"/>
      <w:numFmt w:val="decimal"/>
      <w:lvlText w:val="%1.%2.%3.%4.%5."/>
      <w:lvlJc w:val="left"/>
      <w:pPr>
        <w:ind w:left="4053"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C325998"/>
    <w:multiLevelType w:val="hybridMultilevel"/>
    <w:tmpl w:val="EB5CB95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3" w15:restartNumberingAfterBreak="0">
    <w:nsid w:val="7CB27B23"/>
    <w:multiLevelType w:val="multilevel"/>
    <w:tmpl w:val="0344C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6790">
    <w:abstractNumId w:val="16"/>
  </w:num>
  <w:num w:numId="2" w16cid:durableId="546916470">
    <w:abstractNumId w:val="41"/>
  </w:num>
  <w:num w:numId="3" w16cid:durableId="834149906">
    <w:abstractNumId w:val="19"/>
  </w:num>
  <w:num w:numId="4" w16cid:durableId="587035408">
    <w:abstractNumId w:val="13"/>
  </w:num>
  <w:num w:numId="5" w16cid:durableId="490290692">
    <w:abstractNumId w:val="33"/>
  </w:num>
  <w:num w:numId="6" w16cid:durableId="1497962577">
    <w:abstractNumId w:val="27"/>
  </w:num>
  <w:num w:numId="7" w16cid:durableId="1220943113">
    <w:abstractNumId w:val="20"/>
  </w:num>
  <w:num w:numId="8" w16cid:durableId="1966159537">
    <w:abstractNumId w:val="0"/>
  </w:num>
  <w:num w:numId="9" w16cid:durableId="1743864684">
    <w:abstractNumId w:val="1"/>
  </w:num>
  <w:num w:numId="10" w16cid:durableId="1292133530">
    <w:abstractNumId w:val="2"/>
  </w:num>
  <w:num w:numId="11" w16cid:durableId="1017124327">
    <w:abstractNumId w:val="4"/>
  </w:num>
  <w:num w:numId="12" w16cid:durableId="1958560583">
    <w:abstractNumId w:val="3"/>
  </w:num>
  <w:num w:numId="13" w16cid:durableId="1147285439">
    <w:abstractNumId w:val="5"/>
  </w:num>
  <w:num w:numId="14" w16cid:durableId="1793329030">
    <w:abstractNumId w:val="6"/>
  </w:num>
  <w:num w:numId="15" w16cid:durableId="789662140">
    <w:abstractNumId w:val="7"/>
  </w:num>
  <w:num w:numId="16" w16cid:durableId="1754349978">
    <w:abstractNumId w:val="42"/>
  </w:num>
  <w:num w:numId="17" w16cid:durableId="945191712">
    <w:abstractNumId w:val="15"/>
  </w:num>
  <w:num w:numId="18" w16cid:durableId="1193955632">
    <w:abstractNumId w:val="32"/>
  </w:num>
  <w:num w:numId="19" w16cid:durableId="246309997">
    <w:abstractNumId w:val="12"/>
  </w:num>
  <w:num w:numId="20" w16cid:durableId="488061553">
    <w:abstractNumId w:val="25"/>
  </w:num>
  <w:num w:numId="21" w16cid:durableId="585506103">
    <w:abstractNumId w:val="30"/>
  </w:num>
  <w:num w:numId="22" w16cid:durableId="1188132060">
    <w:abstractNumId w:val="18"/>
  </w:num>
  <w:num w:numId="23" w16cid:durableId="1004168821">
    <w:abstractNumId w:val="38"/>
  </w:num>
  <w:num w:numId="24" w16cid:durableId="1240017768">
    <w:abstractNumId w:val="40"/>
  </w:num>
  <w:num w:numId="25" w16cid:durableId="461390537">
    <w:abstractNumId w:val="9"/>
  </w:num>
  <w:num w:numId="26" w16cid:durableId="1551841879">
    <w:abstractNumId w:val="31"/>
  </w:num>
  <w:num w:numId="27" w16cid:durableId="106124512">
    <w:abstractNumId w:val="37"/>
  </w:num>
  <w:num w:numId="28" w16cid:durableId="823668651">
    <w:abstractNumId w:val="39"/>
  </w:num>
  <w:num w:numId="29" w16cid:durableId="213928608">
    <w:abstractNumId w:val="21"/>
  </w:num>
  <w:num w:numId="30" w16cid:durableId="1929388107">
    <w:abstractNumId w:val="10"/>
  </w:num>
  <w:num w:numId="31" w16cid:durableId="1631937223">
    <w:abstractNumId w:val="24"/>
  </w:num>
  <w:num w:numId="32" w16cid:durableId="1107579318">
    <w:abstractNumId w:val="43"/>
  </w:num>
  <w:num w:numId="33" w16cid:durableId="1545017766">
    <w:abstractNumId w:val="17"/>
  </w:num>
  <w:num w:numId="34" w16cid:durableId="205723607">
    <w:abstractNumId w:val="11"/>
  </w:num>
  <w:num w:numId="35" w16cid:durableId="1057047134">
    <w:abstractNumId w:val="28"/>
  </w:num>
  <w:num w:numId="36" w16cid:durableId="1458142459">
    <w:abstractNumId w:val="14"/>
  </w:num>
  <w:num w:numId="37" w16cid:durableId="1857693509">
    <w:abstractNumId w:val="26"/>
  </w:num>
  <w:num w:numId="38" w16cid:durableId="2119442132">
    <w:abstractNumId w:val="35"/>
  </w:num>
  <w:num w:numId="39" w16cid:durableId="370306556">
    <w:abstractNumId w:val="22"/>
  </w:num>
  <w:num w:numId="40" w16cid:durableId="1217543688">
    <w:abstractNumId w:val="8"/>
  </w:num>
  <w:num w:numId="41" w16cid:durableId="394013267">
    <w:abstractNumId w:val="34"/>
  </w:num>
  <w:num w:numId="42" w16cid:durableId="450827529">
    <w:abstractNumId w:val="23"/>
  </w:num>
  <w:num w:numId="43" w16cid:durableId="774983095">
    <w:abstractNumId w:val="29"/>
  </w:num>
  <w:num w:numId="44" w16cid:durableId="1307106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BD"/>
    <w:rsid w:val="000011B8"/>
    <w:rsid w:val="00001B3D"/>
    <w:rsid w:val="00011934"/>
    <w:rsid w:val="000130F2"/>
    <w:rsid w:val="00015821"/>
    <w:rsid w:val="000167AA"/>
    <w:rsid w:val="00016B96"/>
    <w:rsid w:val="0002540B"/>
    <w:rsid w:val="00025B78"/>
    <w:rsid w:val="00035AD1"/>
    <w:rsid w:val="00036F53"/>
    <w:rsid w:val="00042F03"/>
    <w:rsid w:val="00043EED"/>
    <w:rsid w:val="0004580B"/>
    <w:rsid w:val="00045FC4"/>
    <w:rsid w:val="00046261"/>
    <w:rsid w:val="0005488D"/>
    <w:rsid w:val="00056343"/>
    <w:rsid w:val="00060D81"/>
    <w:rsid w:val="000634CF"/>
    <w:rsid w:val="00063734"/>
    <w:rsid w:val="00064ABF"/>
    <w:rsid w:val="00065441"/>
    <w:rsid w:val="0006583C"/>
    <w:rsid w:val="00065A55"/>
    <w:rsid w:val="00071CAB"/>
    <w:rsid w:val="000735A6"/>
    <w:rsid w:val="00073E06"/>
    <w:rsid w:val="00077A02"/>
    <w:rsid w:val="00087DA7"/>
    <w:rsid w:val="0009172A"/>
    <w:rsid w:val="000920A0"/>
    <w:rsid w:val="00096AAB"/>
    <w:rsid w:val="00097449"/>
    <w:rsid w:val="000A1B6B"/>
    <w:rsid w:val="000A29F5"/>
    <w:rsid w:val="000A49F6"/>
    <w:rsid w:val="000A6884"/>
    <w:rsid w:val="000A710B"/>
    <w:rsid w:val="000B06B6"/>
    <w:rsid w:val="000B0A63"/>
    <w:rsid w:val="000B28CA"/>
    <w:rsid w:val="000B341B"/>
    <w:rsid w:val="000B44A2"/>
    <w:rsid w:val="000B4B4E"/>
    <w:rsid w:val="000B7DBA"/>
    <w:rsid w:val="000C18FE"/>
    <w:rsid w:val="000C3AE4"/>
    <w:rsid w:val="000C5950"/>
    <w:rsid w:val="000D17C4"/>
    <w:rsid w:val="000D31CC"/>
    <w:rsid w:val="000E3D4B"/>
    <w:rsid w:val="000F2B02"/>
    <w:rsid w:val="000F33B5"/>
    <w:rsid w:val="00100372"/>
    <w:rsid w:val="00100CFD"/>
    <w:rsid w:val="00102876"/>
    <w:rsid w:val="00102BD7"/>
    <w:rsid w:val="0010310D"/>
    <w:rsid w:val="00110679"/>
    <w:rsid w:val="00115B46"/>
    <w:rsid w:val="00116B28"/>
    <w:rsid w:val="00117B0E"/>
    <w:rsid w:val="001228D2"/>
    <w:rsid w:val="00123673"/>
    <w:rsid w:val="00131C81"/>
    <w:rsid w:val="00131F3F"/>
    <w:rsid w:val="00136D04"/>
    <w:rsid w:val="00144810"/>
    <w:rsid w:val="00152B74"/>
    <w:rsid w:val="001543BA"/>
    <w:rsid w:val="001550AA"/>
    <w:rsid w:val="00157B29"/>
    <w:rsid w:val="001607AB"/>
    <w:rsid w:val="00163D9A"/>
    <w:rsid w:val="00175A46"/>
    <w:rsid w:val="00176744"/>
    <w:rsid w:val="00176B9E"/>
    <w:rsid w:val="0018135B"/>
    <w:rsid w:val="0018746B"/>
    <w:rsid w:val="00190045"/>
    <w:rsid w:val="0019325F"/>
    <w:rsid w:val="001932F7"/>
    <w:rsid w:val="00193F08"/>
    <w:rsid w:val="001944C4"/>
    <w:rsid w:val="00194B22"/>
    <w:rsid w:val="00194C0E"/>
    <w:rsid w:val="001A0B59"/>
    <w:rsid w:val="001A29B2"/>
    <w:rsid w:val="001A39E9"/>
    <w:rsid w:val="001A52C9"/>
    <w:rsid w:val="001A7487"/>
    <w:rsid w:val="001B0D28"/>
    <w:rsid w:val="001B47AE"/>
    <w:rsid w:val="001B4F54"/>
    <w:rsid w:val="001B7252"/>
    <w:rsid w:val="001B7253"/>
    <w:rsid w:val="001C0970"/>
    <w:rsid w:val="001C1833"/>
    <w:rsid w:val="001C2BC4"/>
    <w:rsid w:val="001C3386"/>
    <w:rsid w:val="001C7619"/>
    <w:rsid w:val="001E1386"/>
    <w:rsid w:val="001E2473"/>
    <w:rsid w:val="001E623B"/>
    <w:rsid w:val="001F3580"/>
    <w:rsid w:val="001F37CA"/>
    <w:rsid w:val="00204B6C"/>
    <w:rsid w:val="00210C60"/>
    <w:rsid w:val="00213873"/>
    <w:rsid w:val="00213CA0"/>
    <w:rsid w:val="002230EB"/>
    <w:rsid w:val="00223968"/>
    <w:rsid w:val="0022399E"/>
    <w:rsid w:val="00224C10"/>
    <w:rsid w:val="00226605"/>
    <w:rsid w:val="002328E4"/>
    <w:rsid w:val="00233388"/>
    <w:rsid w:val="00235BEC"/>
    <w:rsid w:val="0024300F"/>
    <w:rsid w:val="00244204"/>
    <w:rsid w:val="002472C0"/>
    <w:rsid w:val="00250217"/>
    <w:rsid w:val="00254034"/>
    <w:rsid w:val="00254601"/>
    <w:rsid w:val="00254F4B"/>
    <w:rsid w:val="00256067"/>
    <w:rsid w:val="00256B72"/>
    <w:rsid w:val="002622CF"/>
    <w:rsid w:val="00264BDB"/>
    <w:rsid w:val="00265BC2"/>
    <w:rsid w:val="0026677A"/>
    <w:rsid w:val="00274684"/>
    <w:rsid w:val="00276674"/>
    <w:rsid w:val="002775C6"/>
    <w:rsid w:val="00287185"/>
    <w:rsid w:val="002875A4"/>
    <w:rsid w:val="002906BD"/>
    <w:rsid w:val="002A3718"/>
    <w:rsid w:val="002B0A00"/>
    <w:rsid w:val="002B22BE"/>
    <w:rsid w:val="002B4909"/>
    <w:rsid w:val="002C053C"/>
    <w:rsid w:val="002C3495"/>
    <w:rsid w:val="002C5130"/>
    <w:rsid w:val="002C62C9"/>
    <w:rsid w:val="002D1E34"/>
    <w:rsid w:val="002D1FFD"/>
    <w:rsid w:val="002D2F78"/>
    <w:rsid w:val="002D3688"/>
    <w:rsid w:val="002D64DF"/>
    <w:rsid w:val="002D7366"/>
    <w:rsid w:val="002E08A1"/>
    <w:rsid w:val="002E3996"/>
    <w:rsid w:val="002E7865"/>
    <w:rsid w:val="002F09C3"/>
    <w:rsid w:val="002F6C81"/>
    <w:rsid w:val="0030097C"/>
    <w:rsid w:val="00305333"/>
    <w:rsid w:val="00306341"/>
    <w:rsid w:val="003137EB"/>
    <w:rsid w:val="00313877"/>
    <w:rsid w:val="00314834"/>
    <w:rsid w:val="00316B7A"/>
    <w:rsid w:val="00320568"/>
    <w:rsid w:val="003212A1"/>
    <w:rsid w:val="00327E67"/>
    <w:rsid w:val="00327FA2"/>
    <w:rsid w:val="00332988"/>
    <w:rsid w:val="0033662A"/>
    <w:rsid w:val="00336835"/>
    <w:rsid w:val="00341E1C"/>
    <w:rsid w:val="0034331B"/>
    <w:rsid w:val="00346A99"/>
    <w:rsid w:val="003477F4"/>
    <w:rsid w:val="0035360E"/>
    <w:rsid w:val="00356B91"/>
    <w:rsid w:val="00356E76"/>
    <w:rsid w:val="00360ECF"/>
    <w:rsid w:val="0036164F"/>
    <w:rsid w:val="00361DEF"/>
    <w:rsid w:val="00363A7F"/>
    <w:rsid w:val="003649AA"/>
    <w:rsid w:val="0037036C"/>
    <w:rsid w:val="00372A86"/>
    <w:rsid w:val="003739EF"/>
    <w:rsid w:val="0037597F"/>
    <w:rsid w:val="00375BE9"/>
    <w:rsid w:val="003805B7"/>
    <w:rsid w:val="0038211C"/>
    <w:rsid w:val="003854AF"/>
    <w:rsid w:val="0038765C"/>
    <w:rsid w:val="0039089F"/>
    <w:rsid w:val="0039418D"/>
    <w:rsid w:val="003A1828"/>
    <w:rsid w:val="003A1A69"/>
    <w:rsid w:val="003A2175"/>
    <w:rsid w:val="003A5D2E"/>
    <w:rsid w:val="003B0026"/>
    <w:rsid w:val="003B6A6D"/>
    <w:rsid w:val="003C2FA8"/>
    <w:rsid w:val="003C327C"/>
    <w:rsid w:val="003C3495"/>
    <w:rsid w:val="003C3818"/>
    <w:rsid w:val="003C50A7"/>
    <w:rsid w:val="003C66A7"/>
    <w:rsid w:val="003C7233"/>
    <w:rsid w:val="003D2EC2"/>
    <w:rsid w:val="003D41B3"/>
    <w:rsid w:val="003D46F6"/>
    <w:rsid w:val="003D4EA1"/>
    <w:rsid w:val="003D68B7"/>
    <w:rsid w:val="003D76F3"/>
    <w:rsid w:val="003E0FA4"/>
    <w:rsid w:val="003E691C"/>
    <w:rsid w:val="003F3619"/>
    <w:rsid w:val="003F711B"/>
    <w:rsid w:val="00402529"/>
    <w:rsid w:val="0040324B"/>
    <w:rsid w:val="00404457"/>
    <w:rsid w:val="00404A4C"/>
    <w:rsid w:val="00407491"/>
    <w:rsid w:val="00410C3C"/>
    <w:rsid w:val="004117A5"/>
    <w:rsid w:val="00414D67"/>
    <w:rsid w:val="00421B1F"/>
    <w:rsid w:val="00422501"/>
    <w:rsid w:val="00423483"/>
    <w:rsid w:val="004310D9"/>
    <w:rsid w:val="00431D68"/>
    <w:rsid w:val="004352B6"/>
    <w:rsid w:val="004457C6"/>
    <w:rsid w:val="004469B6"/>
    <w:rsid w:val="00451EC0"/>
    <w:rsid w:val="00453DEF"/>
    <w:rsid w:val="00460020"/>
    <w:rsid w:val="00472695"/>
    <w:rsid w:val="00472FCF"/>
    <w:rsid w:val="00475BBB"/>
    <w:rsid w:val="00476E60"/>
    <w:rsid w:val="0048219F"/>
    <w:rsid w:val="00483CBD"/>
    <w:rsid w:val="00487564"/>
    <w:rsid w:val="004971A1"/>
    <w:rsid w:val="004A05F9"/>
    <w:rsid w:val="004A2597"/>
    <w:rsid w:val="004B168E"/>
    <w:rsid w:val="004B16F7"/>
    <w:rsid w:val="004B2482"/>
    <w:rsid w:val="004B38EF"/>
    <w:rsid w:val="004B6B4A"/>
    <w:rsid w:val="004C07DE"/>
    <w:rsid w:val="004C139E"/>
    <w:rsid w:val="004C1D82"/>
    <w:rsid w:val="004C1DB0"/>
    <w:rsid w:val="004C792A"/>
    <w:rsid w:val="004D1A08"/>
    <w:rsid w:val="004D1A95"/>
    <w:rsid w:val="004D573B"/>
    <w:rsid w:val="004D5B89"/>
    <w:rsid w:val="004D6687"/>
    <w:rsid w:val="004E1BB4"/>
    <w:rsid w:val="004E2662"/>
    <w:rsid w:val="004E3A08"/>
    <w:rsid w:val="004E7647"/>
    <w:rsid w:val="004F4732"/>
    <w:rsid w:val="004F4786"/>
    <w:rsid w:val="004F5831"/>
    <w:rsid w:val="004F75EC"/>
    <w:rsid w:val="0050289C"/>
    <w:rsid w:val="00503308"/>
    <w:rsid w:val="00504BCB"/>
    <w:rsid w:val="0051480B"/>
    <w:rsid w:val="00516446"/>
    <w:rsid w:val="00520473"/>
    <w:rsid w:val="005221D5"/>
    <w:rsid w:val="005228F3"/>
    <w:rsid w:val="005300D6"/>
    <w:rsid w:val="00544059"/>
    <w:rsid w:val="005451E8"/>
    <w:rsid w:val="00553517"/>
    <w:rsid w:val="00554C57"/>
    <w:rsid w:val="00556145"/>
    <w:rsid w:val="005568DE"/>
    <w:rsid w:val="00562812"/>
    <w:rsid w:val="005638EA"/>
    <w:rsid w:val="00567BD6"/>
    <w:rsid w:val="00570556"/>
    <w:rsid w:val="00581F3F"/>
    <w:rsid w:val="00583158"/>
    <w:rsid w:val="0059018B"/>
    <w:rsid w:val="005913D1"/>
    <w:rsid w:val="00595E02"/>
    <w:rsid w:val="00596D38"/>
    <w:rsid w:val="005A0ABD"/>
    <w:rsid w:val="005A1F76"/>
    <w:rsid w:val="005A55FF"/>
    <w:rsid w:val="005A7E04"/>
    <w:rsid w:val="005B07BE"/>
    <w:rsid w:val="005B0965"/>
    <w:rsid w:val="005B3EAD"/>
    <w:rsid w:val="005B3FE3"/>
    <w:rsid w:val="005C054D"/>
    <w:rsid w:val="005C1E40"/>
    <w:rsid w:val="005C4814"/>
    <w:rsid w:val="005C53F4"/>
    <w:rsid w:val="005C72E8"/>
    <w:rsid w:val="005D1807"/>
    <w:rsid w:val="005D637F"/>
    <w:rsid w:val="005D7188"/>
    <w:rsid w:val="005E0E46"/>
    <w:rsid w:val="005E4125"/>
    <w:rsid w:val="005E4C28"/>
    <w:rsid w:val="005F1EF0"/>
    <w:rsid w:val="005F6B79"/>
    <w:rsid w:val="00601115"/>
    <w:rsid w:val="00601ADC"/>
    <w:rsid w:val="00606C1D"/>
    <w:rsid w:val="0060766F"/>
    <w:rsid w:val="00622770"/>
    <w:rsid w:val="006255D2"/>
    <w:rsid w:val="006432FA"/>
    <w:rsid w:val="006468C5"/>
    <w:rsid w:val="00650A2E"/>
    <w:rsid w:val="00650AF8"/>
    <w:rsid w:val="00653074"/>
    <w:rsid w:val="0065367E"/>
    <w:rsid w:val="006556CD"/>
    <w:rsid w:val="00657987"/>
    <w:rsid w:val="00660568"/>
    <w:rsid w:val="00663297"/>
    <w:rsid w:val="006656CC"/>
    <w:rsid w:val="00670048"/>
    <w:rsid w:val="00670A99"/>
    <w:rsid w:val="00673F39"/>
    <w:rsid w:val="006770E0"/>
    <w:rsid w:val="00677A7F"/>
    <w:rsid w:val="00685660"/>
    <w:rsid w:val="00685A77"/>
    <w:rsid w:val="00693487"/>
    <w:rsid w:val="00694243"/>
    <w:rsid w:val="0069522A"/>
    <w:rsid w:val="00695756"/>
    <w:rsid w:val="006964CE"/>
    <w:rsid w:val="00696DBA"/>
    <w:rsid w:val="006A2853"/>
    <w:rsid w:val="006A74F8"/>
    <w:rsid w:val="006B1060"/>
    <w:rsid w:val="006B20FA"/>
    <w:rsid w:val="006B7ED4"/>
    <w:rsid w:val="006C06FC"/>
    <w:rsid w:val="006C1A68"/>
    <w:rsid w:val="006C5F31"/>
    <w:rsid w:val="006D128C"/>
    <w:rsid w:val="006D1C55"/>
    <w:rsid w:val="006D2529"/>
    <w:rsid w:val="006D37EE"/>
    <w:rsid w:val="006D4305"/>
    <w:rsid w:val="006D621D"/>
    <w:rsid w:val="006F227C"/>
    <w:rsid w:val="007042B7"/>
    <w:rsid w:val="007107CA"/>
    <w:rsid w:val="00720F78"/>
    <w:rsid w:val="00721498"/>
    <w:rsid w:val="00723ECA"/>
    <w:rsid w:val="00725040"/>
    <w:rsid w:val="00731ED9"/>
    <w:rsid w:val="0073409E"/>
    <w:rsid w:val="00734550"/>
    <w:rsid w:val="00734F0A"/>
    <w:rsid w:val="00740CBF"/>
    <w:rsid w:val="00741F4B"/>
    <w:rsid w:val="00743A0C"/>
    <w:rsid w:val="007515DC"/>
    <w:rsid w:val="00756CC3"/>
    <w:rsid w:val="007575EB"/>
    <w:rsid w:val="00757A55"/>
    <w:rsid w:val="00761734"/>
    <w:rsid w:val="00762C28"/>
    <w:rsid w:val="0077123A"/>
    <w:rsid w:val="00771933"/>
    <w:rsid w:val="00772BF9"/>
    <w:rsid w:val="00775695"/>
    <w:rsid w:val="00776469"/>
    <w:rsid w:val="00794E90"/>
    <w:rsid w:val="00796AE9"/>
    <w:rsid w:val="00797F5A"/>
    <w:rsid w:val="007A0260"/>
    <w:rsid w:val="007A3EC5"/>
    <w:rsid w:val="007A4414"/>
    <w:rsid w:val="007A5A2E"/>
    <w:rsid w:val="007A5E71"/>
    <w:rsid w:val="007A7182"/>
    <w:rsid w:val="007A7364"/>
    <w:rsid w:val="007B0F40"/>
    <w:rsid w:val="007B128F"/>
    <w:rsid w:val="007B2044"/>
    <w:rsid w:val="007B3C0C"/>
    <w:rsid w:val="007B5F03"/>
    <w:rsid w:val="007B66D3"/>
    <w:rsid w:val="007D0A16"/>
    <w:rsid w:val="007D3C7C"/>
    <w:rsid w:val="007D5710"/>
    <w:rsid w:val="007D67C6"/>
    <w:rsid w:val="007E5BCE"/>
    <w:rsid w:val="007F1082"/>
    <w:rsid w:val="007F4222"/>
    <w:rsid w:val="007F47F2"/>
    <w:rsid w:val="007F7357"/>
    <w:rsid w:val="00800625"/>
    <w:rsid w:val="0080365E"/>
    <w:rsid w:val="008058CF"/>
    <w:rsid w:val="00810031"/>
    <w:rsid w:val="00810F31"/>
    <w:rsid w:val="00817A16"/>
    <w:rsid w:val="00825BA6"/>
    <w:rsid w:val="00826F1D"/>
    <w:rsid w:val="00830AEC"/>
    <w:rsid w:val="00834274"/>
    <w:rsid w:val="008352C2"/>
    <w:rsid w:val="00836AAD"/>
    <w:rsid w:val="0084206D"/>
    <w:rsid w:val="00845C72"/>
    <w:rsid w:val="0085399B"/>
    <w:rsid w:val="0085477C"/>
    <w:rsid w:val="008564BA"/>
    <w:rsid w:val="008573B7"/>
    <w:rsid w:val="00872ED9"/>
    <w:rsid w:val="0087542D"/>
    <w:rsid w:val="00880895"/>
    <w:rsid w:val="0088229F"/>
    <w:rsid w:val="008842E2"/>
    <w:rsid w:val="00884C58"/>
    <w:rsid w:val="008A21F5"/>
    <w:rsid w:val="008A4411"/>
    <w:rsid w:val="008B0C8A"/>
    <w:rsid w:val="008B16AC"/>
    <w:rsid w:val="008B71B3"/>
    <w:rsid w:val="008C3864"/>
    <w:rsid w:val="008C4527"/>
    <w:rsid w:val="008D2646"/>
    <w:rsid w:val="008D4A7F"/>
    <w:rsid w:val="008D72DC"/>
    <w:rsid w:val="008E187C"/>
    <w:rsid w:val="008F74A3"/>
    <w:rsid w:val="008F77EB"/>
    <w:rsid w:val="00900A7D"/>
    <w:rsid w:val="00900C5F"/>
    <w:rsid w:val="00901D1A"/>
    <w:rsid w:val="0090580B"/>
    <w:rsid w:val="0090741F"/>
    <w:rsid w:val="009119E4"/>
    <w:rsid w:val="009149F2"/>
    <w:rsid w:val="0091684B"/>
    <w:rsid w:val="00920007"/>
    <w:rsid w:val="00922F23"/>
    <w:rsid w:val="00924DD2"/>
    <w:rsid w:val="00926CFB"/>
    <w:rsid w:val="00930EBB"/>
    <w:rsid w:val="0093243D"/>
    <w:rsid w:val="00933915"/>
    <w:rsid w:val="00933DAB"/>
    <w:rsid w:val="0093757A"/>
    <w:rsid w:val="0094283C"/>
    <w:rsid w:val="00944B1B"/>
    <w:rsid w:val="009473B3"/>
    <w:rsid w:val="009513F1"/>
    <w:rsid w:val="009517A9"/>
    <w:rsid w:val="009534D3"/>
    <w:rsid w:val="00954F65"/>
    <w:rsid w:val="00965AF7"/>
    <w:rsid w:val="0097315F"/>
    <w:rsid w:val="00973C96"/>
    <w:rsid w:val="00975811"/>
    <w:rsid w:val="00976F36"/>
    <w:rsid w:val="00981794"/>
    <w:rsid w:val="00987A60"/>
    <w:rsid w:val="009901E7"/>
    <w:rsid w:val="00993BCE"/>
    <w:rsid w:val="0099491E"/>
    <w:rsid w:val="009A1DB7"/>
    <w:rsid w:val="009A4F87"/>
    <w:rsid w:val="009A5264"/>
    <w:rsid w:val="009B3337"/>
    <w:rsid w:val="009B5FF0"/>
    <w:rsid w:val="009C3FD3"/>
    <w:rsid w:val="009C6D99"/>
    <w:rsid w:val="009C776F"/>
    <w:rsid w:val="009D59C7"/>
    <w:rsid w:val="009E0DCC"/>
    <w:rsid w:val="009E6035"/>
    <w:rsid w:val="009E74E9"/>
    <w:rsid w:val="00A05721"/>
    <w:rsid w:val="00A10BD3"/>
    <w:rsid w:val="00A11695"/>
    <w:rsid w:val="00A11AC1"/>
    <w:rsid w:val="00A11C24"/>
    <w:rsid w:val="00A12DCA"/>
    <w:rsid w:val="00A13287"/>
    <w:rsid w:val="00A133AB"/>
    <w:rsid w:val="00A14761"/>
    <w:rsid w:val="00A16ED2"/>
    <w:rsid w:val="00A209BA"/>
    <w:rsid w:val="00A2160F"/>
    <w:rsid w:val="00A2429A"/>
    <w:rsid w:val="00A2549E"/>
    <w:rsid w:val="00A26A88"/>
    <w:rsid w:val="00A337B1"/>
    <w:rsid w:val="00A342BD"/>
    <w:rsid w:val="00A36C5D"/>
    <w:rsid w:val="00A45AA6"/>
    <w:rsid w:val="00A45F0F"/>
    <w:rsid w:val="00A53BC9"/>
    <w:rsid w:val="00A56C77"/>
    <w:rsid w:val="00A60577"/>
    <w:rsid w:val="00A60DA6"/>
    <w:rsid w:val="00A61DC8"/>
    <w:rsid w:val="00A62F1E"/>
    <w:rsid w:val="00A65663"/>
    <w:rsid w:val="00A749A7"/>
    <w:rsid w:val="00A769CA"/>
    <w:rsid w:val="00A77CAB"/>
    <w:rsid w:val="00A81E8E"/>
    <w:rsid w:val="00A83A50"/>
    <w:rsid w:val="00A8490F"/>
    <w:rsid w:val="00A9097E"/>
    <w:rsid w:val="00A91695"/>
    <w:rsid w:val="00AA4909"/>
    <w:rsid w:val="00AA5626"/>
    <w:rsid w:val="00AB2A50"/>
    <w:rsid w:val="00AB5C34"/>
    <w:rsid w:val="00AC0965"/>
    <w:rsid w:val="00AC37DC"/>
    <w:rsid w:val="00AC4CA8"/>
    <w:rsid w:val="00AC5381"/>
    <w:rsid w:val="00AC73E6"/>
    <w:rsid w:val="00AD1B6B"/>
    <w:rsid w:val="00AD34A8"/>
    <w:rsid w:val="00AD3756"/>
    <w:rsid w:val="00AD59E9"/>
    <w:rsid w:val="00AE5A7C"/>
    <w:rsid w:val="00AF2523"/>
    <w:rsid w:val="00AF3767"/>
    <w:rsid w:val="00AF4A30"/>
    <w:rsid w:val="00AF4DEB"/>
    <w:rsid w:val="00AF7E30"/>
    <w:rsid w:val="00B01109"/>
    <w:rsid w:val="00B02DD7"/>
    <w:rsid w:val="00B045C6"/>
    <w:rsid w:val="00B06110"/>
    <w:rsid w:val="00B07814"/>
    <w:rsid w:val="00B153E5"/>
    <w:rsid w:val="00B17B3D"/>
    <w:rsid w:val="00B200E2"/>
    <w:rsid w:val="00B26B12"/>
    <w:rsid w:val="00B270D1"/>
    <w:rsid w:val="00B3096E"/>
    <w:rsid w:val="00B31201"/>
    <w:rsid w:val="00B31919"/>
    <w:rsid w:val="00B32118"/>
    <w:rsid w:val="00B37482"/>
    <w:rsid w:val="00B37E68"/>
    <w:rsid w:val="00B4165E"/>
    <w:rsid w:val="00B502E7"/>
    <w:rsid w:val="00B51164"/>
    <w:rsid w:val="00B53A5A"/>
    <w:rsid w:val="00B54322"/>
    <w:rsid w:val="00B60D21"/>
    <w:rsid w:val="00B61E49"/>
    <w:rsid w:val="00B63F8D"/>
    <w:rsid w:val="00B6593D"/>
    <w:rsid w:val="00B67C60"/>
    <w:rsid w:val="00B70EF5"/>
    <w:rsid w:val="00B81E38"/>
    <w:rsid w:val="00B84AAE"/>
    <w:rsid w:val="00B87C5C"/>
    <w:rsid w:val="00B90318"/>
    <w:rsid w:val="00B90586"/>
    <w:rsid w:val="00B90B91"/>
    <w:rsid w:val="00B93333"/>
    <w:rsid w:val="00B94EAF"/>
    <w:rsid w:val="00B977A2"/>
    <w:rsid w:val="00BA27B6"/>
    <w:rsid w:val="00BB140F"/>
    <w:rsid w:val="00BB14F6"/>
    <w:rsid w:val="00BB35FB"/>
    <w:rsid w:val="00BB40E8"/>
    <w:rsid w:val="00BB4435"/>
    <w:rsid w:val="00BB5B25"/>
    <w:rsid w:val="00BC1288"/>
    <w:rsid w:val="00BC2345"/>
    <w:rsid w:val="00BC3F42"/>
    <w:rsid w:val="00BD5136"/>
    <w:rsid w:val="00BD7B0D"/>
    <w:rsid w:val="00BE100E"/>
    <w:rsid w:val="00BE31F1"/>
    <w:rsid w:val="00BF4025"/>
    <w:rsid w:val="00BF43DE"/>
    <w:rsid w:val="00BF6D9F"/>
    <w:rsid w:val="00BF7F39"/>
    <w:rsid w:val="00C03703"/>
    <w:rsid w:val="00C11D26"/>
    <w:rsid w:val="00C135C0"/>
    <w:rsid w:val="00C14ACB"/>
    <w:rsid w:val="00C159B9"/>
    <w:rsid w:val="00C17DCC"/>
    <w:rsid w:val="00C22006"/>
    <w:rsid w:val="00C33F9E"/>
    <w:rsid w:val="00C36B43"/>
    <w:rsid w:val="00C52A86"/>
    <w:rsid w:val="00C54EFD"/>
    <w:rsid w:val="00C56761"/>
    <w:rsid w:val="00C57B40"/>
    <w:rsid w:val="00C633EF"/>
    <w:rsid w:val="00C63A4A"/>
    <w:rsid w:val="00C64FC2"/>
    <w:rsid w:val="00C67A7C"/>
    <w:rsid w:val="00C706E3"/>
    <w:rsid w:val="00C772BD"/>
    <w:rsid w:val="00C84FE4"/>
    <w:rsid w:val="00C90FB2"/>
    <w:rsid w:val="00CA3879"/>
    <w:rsid w:val="00CA5B5A"/>
    <w:rsid w:val="00CB1413"/>
    <w:rsid w:val="00CB5476"/>
    <w:rsid w:val="00CB73C7"/>
    <w:rsid w:val="00CB7B60"/>
    <w:rsid w:val="00CC2444"/>
    <w:rsid w:val="00CC7A10"/>
    <w:rsid w:val="00CD3A07"/>
    <w:rsid w:val="00CD3AE4"/>
    <w:rsid w:val="00CD5342"/>
    <w:rsid w:val="00CD5942"/>
    <w:rsid w:val="00CE4195"/>
    <w:rsid w:val="00CE67B6"/>
    <w:rsid w:val="00CF4339"/>
    <w:rsid w:val="00D0055D"/>
    <w:rsid w:val="00D02830"/>
    <w:rsid w:val="00D055FB"/>
    <w:rsid w:val="00D0562B"/>
    <w:rsid w:val="00D16E5A"/>
    <w:rsid w:val="00D22483"/>
    <w:rsid w:val="00D43C69"/>
    <w:rsid w:val="00D45F12"/>
    <w:rsid w:val="00D470CD"/>
    <w:rsid w:val="00D55FA1"/>
    <w:rsid w:val="00D60B12"/>
    <w:rsid w:val="00D61833"/>
    <w:rsid w:val="00D61D53"/>
    <w:rsid w:val="00D62F47"/>
    <w:rsid w:val="00D6422C"/>
    <w:rsid w:val="00D64BF6"/>
    <w:rsid w:val="00D65C37"/>
    <w:rsid w:val="00D661AE"/>
    <w:rsid w:val="00D67553"/>
    <w:rsid w:val="00D714E2"/>
    <w:rsid w:val="00D75D42"/>
    <w:rsid w:val="00D806B6"/>
    <w:rsid w:val="00D8076E"/>
    <w:rsid w:val="00D874CD"/>
    <w:rsid w:val="00D87A29"/>
    <w:rsid w:val="00D92EF1"/>
    <w:rsid w:val="00D93868"/>
    <w:rsid w:val="00D94C2F"/>
    <w:rsid w:val="00D96C66"/>
    <w:rsid w:val="00DA26A5"/>
    <w:rsid w:val="00DA439E"/>
    <w:rsid w:val="00DA664F"/>
    <w:rsid w:val="00DB6A33"/>
    <w:rsid w:val="00DC0196"/>
    <w:rsid w:val="00DC171C"/>
    <w:rsid w:val="00DC47F9"/>
    <w:rsid w:val="00DC4EF0"/>
    <w:rsid w:val="00DC5088"/>
    <w:rsid w:val="00DC569D"/>
    <w:rsid w:val="00DC605C"/>
    <w:rsid w:val="00DD15FF"/>
    <w:rsid w:val="00DD2181"/>
    <w:rsid w:val="00DD2ECD"/>
    <w:rsid w:val="00DD3779"/>
    <w:rsid w:val="00DD5B94"/>
    <w:rsid w:val="00DD6B80"/>
    <w:rsid w:val="00DE4A69"/>
    <w:rsid w:val="00DE4DA8"/>
    <w:rsid w:val="00DF5377"/>
    <w:rsid w:val="00DF78E2"/>
    <w:rsid w:val="00E04F96"/>
    <w:rsid w:val="00E07E33"/>
    <w:rsid w:val="00E14DBD"/>
    <w:rsid w:val="00E153C6"/>
    <w:rsid w:val="00E1596D"/>
    <w:rsid w:val="00E27F49"/>
    <w:rsid w:val="00E300E7"/>
    <w:rsid w:val="00E3144A"/>
    <w:rsid w:val="00E348D9"/>
    <w:rsid w:val="00E36C2A"/>
    <w:rsid w:val="00E40BE6"/>
    <w:rsid w:val="00E45829"/>
    <w:rsid w:val="00E50651"/>
    <w:rsid w:val="00E55E04"/>
    <w:rsid w:val="00E5739A"/>
    <w:rsid w:val="00E652F1"/>
    <w:rsid w:val="00E661B2"/>
    <w:rsid w:val="00E71419"/>
    <w:rsid w:val="00E72011"/>
    <w:rsid w:val="00E7205E"/>
    <w:rsid w:val="00E77E6E"/>
    <w:rsid w:val="00E82362"/>
    <w:rsid w:val="00E912B5"/>
    <w:rsid w:val="00E93320"/>
    <w:rsid w:val="00E97C60"/>
    <w:rsid w:val="00EB4996"/>
    <w:rsid w:val="00EB64CF"/>
    <w:rsid w:val="00EC1213"/>
    <w:rsid w:val="00EC56D4"/>
    <w:rsid w:val="00ED1781"/>
    <w:rsid w:val="00ED35F4"/>
    <w:rsid w:val="00ED4E47"/>
    <w:rsid w:val="00ED5114"/>
    <w:rsid w:val="00ED7075"/>
    <w:rsid w:val="00EE0CAC"/>
    <w:rsid w:val="00EE2916"/>
    <w:rsid w:val="00EF6DD1"/>
    <w:rsid w:val="00F03A2E"/>
    <w:rsid w:val="00F05A3C"/>
    <w:rsid w:val="00F12513"/>
    <w:rsid w:val="00F1259A"/>
    <w:rsid w:val="00F14AF5"/>
    <w:rsid w:val="00F1537A"/>
    <w:rsid w:val="00F27569"/>
    <w:rsid w:val="00F32DDA"/>
    <w:rsid w:val="00F32EC1"/>
    <w:rsid w:val="00F33CB3"/>
    <w:rsid w:val="00F405EF"/>
    <w:rsid w:val="00F525EE"/>
    <w:rsid w:val="00F53F54"/>
    <w:rsid w:val="00F5511C"/>
    <w:rsid w:val="00F6533D"/>
    <w:rsid w:val="00F74B29"/>
    <w:rsid w:val="00F863F9"/>
    <w:rsid w:val="00F90BFC"/>
    <w:rsid w:val="00FA061A"/>
    <w:rsid w:val="00FB1072"/>
    <w:rsid w:val="00FD0BE5"/>
    <w:rsid w:val="00FD1E84"/>
    <w:rsid w:val="00FD44AF"/>
    <w:rsid w:val="00FD643D"/>
    <w:rsid w:val="00FE00BB"/>
    <w:rsid w:val="00FE147B"/>
    <w:rsid w:val="00FE3603"/>
    <w:rsid w:val="00FE53E0"/>
    <w:rsid w:val="00FE7F20"/>
    <w:rsid w:val="00FF0E3A"/>
    <w:rsid w:val="00FF1442"/>
    <w:rsid w:val="00FF3AD7"/>
    <w:rsid w:val="00FF5619"/>
    <w:rsid w:val="00FF763A"/>
    <w:rsid w:val="00FF7F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DB74"/>
  <w15:docId w15:val="{11C506C1-86CC-4BFE-959E-AB68F930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0ABD"/>
    <w:pPr>
      <w:suppressAutoHyphens/>
    </w:pPr>
    <w:rPr>
      <w:lang w:eastAsia="ar-SA"/>
    </w:rPr>
  </w:style>
  <w:style w:type="paragraph" w:styleId="Ttulo1">
    <w:name w:val="heading 1"/>
    <w:basedOn w:val="Normal"/>
    <w:next w:val="Normal"/>
    <w:rsid w:val="005A0ABD"/>
    <w:pPr>
      <w:keepNext/>
      <w:tabs>
        <w:tab w:val="left" w:pos="0"/>
        <w:tab w:val="left" w:pos="11160"/>
      </w:tabs>
      <w:ind w:right="49" w:firstLine="2552"/>
      <w:jc w:val="both"/>
      <w:outlineLvl w:val="0"/>
    </w:pPr>
    <w:rPr>
      <w:rFonts w:ascii="CG Times" w:hAnsi="CG Times"/>
      <w:b/>
      <w:sz w:val="24"/>
    </w:rPr>
  </w:style>
  <w:style w:type="paragraph" w:styleId="Ttulo2">
    <w:name w:val="heading 2"/>
    <w:basedOn w:val="Normal"/>
    <w:next w:val="Normal"/>
    <w:rsid w:val="005A0ABD"/>
    <w:pPr>
      <w:keepNext/>
      <w:jc w:val="center"/>
      <w:outlineLvl w:val="1"/>
    </w:pPr>
    <w:rPr>
      <w:b/>
      <w:sz w:val="24"/>
    </w:rPr>
  </w:style>
  <w:style w:type="paragraph" w:styleId="Ttulo3">
    <w:name w:val="heading 3"/>
    <w:basedOn w:val="Normal"/>
    <w:next w:val="Normal"/>
    <w:link w:val="Ttulo3Char"/>
    <w:uiPriority w:val="9"/>
    <w:semiHidden/>
    <w:unhideWhenUsed/>
    <w:qFormat/>
    <w:rsid w:val="00100CF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rsid w:val="005A0ABD"/>
    <w:pPr>
      <w:keepNext/>
      <w:tabs>
        <w:tab w:val="left" w:pos="0"/>
      </w:tabs>
      <w:ind w:firstLine="3119"/>
      <w:jc w:val="both"/>
      <w:outlineLvl w:val="3"/>
    </w:pPr>
    <w:rPr>
      <w:b/>
    </w:rPr>
  </w:style>
  <w:style w:type="paragraph" w:styleId="Ttulo5">
    <w:name w:val="heading 5"/>
    <w:basedOn w:val="Normal"/>
    <w:next w:val="Normal"/>
    <w:rsid w:val="005A0ABD"/>
    <w:pPr>
      <w:keepNext/>
      <w:tabs>
        <w:tab w:val="left" w:pos="0"/>
      </w:tabs>
      <w:ind w:right="-136"/>
      <w:jc w:val="center"/>
      <w:outlineLvl w:val="4"/>
    </w:pPr>
    <w:rPr>
      <w:b/>
      <w:sz w:val="24"/>
    </w:rPr>
  </w:style>
  <w:style w:type="paragraph" w:styleId="Ttulo7">
    <w:name w:val="heading 7"/>
    <w:basedOn w:val="Normal"/>
    <w:next w:val="Normal"/>
    <w:rsid w:val="005A0ABD"/>
    <w:pPr>
      <w:spacing w:before="240" w:after="60"/>
      <w:outlineLvl w:val="6"/>
    </w:pPr>
    <w:rPr>
      <w:sz w:val="24"/>
      <w:szCs w:val="24"/>
    </w:rPr>
  </w:style>
  <w:style w:type="paragraph" w:styleId="Ttulo8">
    <w:name w:val="heading 8"/>
    <w:basedOn w:val="Normal"/>
    <w:next w:val="Normal"/>
    <w:rsid w:val="005A0ABD"/>
    <w:pPr>
      <w:spacing w:before="240" w:after="60"/>
      <w:outlineLvl w:val="7"/>
    </w:pPr>
    <w:rPr>
      <w:i/>
      <w:iCs/>
      <w:sz w:val="24"/>
      <w:szCs w:val="24"/>
    </w:rPr>
  </w:style>
  <w:style w:type="paragraph" w:styleId="Ttulo9">
    <w:name w:val="heading 9"/>
    <w:basedOn w:val="Normal"/>
    <w:next w:val="Normal"/>
    <w:rsid w:val="005A0AB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ivel1">
    <w:name w:val="Nivel1"/>
    <w:basedOn w:val="Ttulo1"/>
    <w:next w:val="Normal"/>
    <w:rsid w:val="005A0ABD"/>
    <w:pPr>
      <w:keepLines/>
      <w:tabs>
        <w:tab w:val="clear" w:pos="11160"/>
      </w:tabs>
      <w:spacing w:before="480" w:after="120" w:line="276" w:lineRule="auto"/>
      <w:ind w:right="0"/>
    </w:pPr>
    <w:rPr>
      <w:rFonts w:ascii="Arial" w:eastAsia="MS Gothic" w:hAnsi="Arial" w:cs="Arial"/>
      <w:color w:val="000000"/>
      <w:sz w:val="20"/>
      <w:lang w:eastAsia="pt-BR"/>
    </w:rPr>
  </w:style>
  <w:style w:type="character" w:customStyle="1" w:styleId="Absatz-Standardschriftart">
    <w:name w:val="Absatz-Standardschriftart"/>
    <w:rsid w:val="005A0ABD"/>
  </w:style>
  <w:style w:type="character" w:customStyle="1" w:styleId="WW-Absatz-Standardschriftart">
    <w:name w:val="WW-Absatz-Standardschriftart"/>
    <w:rsid w:val="005A0ABD"/>
  </w:style>
  <w:style w:type="character" w:customStyle="1" w:styleId="WW-Absatz-Standardschriftart1">
    <w:name w:val="WW-Absatz-Standardschriftart1"/>
    <w:rsid w:val="005A0ABD"/>
  </w:style>
  <w:style w:type="character" w:customStyle="1" w:styleId="WW-Absatz-Standardschriftart11">
    <w:name w:val="WW-Absatz-Standardschriftart11"/>
    <w:rsid w:val="005A0ABD"/>
  </w:style>
  <w:style w:type="character" w:customStyle="1" w:styleId="WW-Absatz-Standardschriftart111">
    <w:name w:val="WW-Absatz-Standardschriftart111"/>
    <w:rsid w:val="005A0ABD"/>
  </w:style>
  <w:style w:type="character" w:customStyle="1" w:styleId="Fontepargpadro4">
    <w:name w:val="Fonte parág. padrão4"/>
    <w:rsid w:val="005A0ABD"/>
  </w:style>
  <w:style w:type="character" w:customStyle="1" w:styleId="WW-Absatz-Standardschriftart1111">
    <w:name w:val="WW-Absatz-Standardschriftart1111"/>
    <w:rsid w:val="005A0ABD"/>
  </w:style>
  <w:style w:type="character" w:customStyle="1" w:styleId="WW-Absatz-Standardschriftart11111">
    <w:name w:val="WW-Absatz-Standardschriftart11111"/>
    <w:rsid w:val="005A0ABD"/>
  </w:style>
  <w:style w:type="character" w:customStyle="1" w:styleId="WW-Absatz-Standardschriftart111111">
    <w:name w:val="WW-Absatz-Standardschriftart111111"/>
    <w:rsid w:val="005A0ABD"/>
  </w:style>
  <w:style w:type="character" w:customStyle="1" w:styleId="WW-Absatz-Standardschriftart1111111">
    <w:name w:val="WW-Absatz-Standardschriftart1111111"/>
    <w:rsid w:val="005A0ABD"/>
  </w:style>
  <w:style w:type="character" w:customStyle="1" w:styleId="WW-Absatz-Standardschriftart11111111">
    <w:name w:val="WW-Absatz-Standardschriftart11111111"/>
    <w:rsid w:val="005A0ABD"/>
  </w:style>
  <w:style w:type="character" w:customStyle="1" w:styleId="WW-Absatz-Standardschriftart111111111">
    <w:name w:val="WW-Absatz-Standardschriftart111111111"/>
    <w:rsid w:val="005A0ABD"/>
  </w:style>
  <w:style w:type="character" w:customStyle="1" w:styleId="Fontepargpadro3">
    <w:name w:val="Fonte parág. padrão3"/>
    <w:rsid w:val="005A0ABD"/>
  </w:style>
  <w:style w:type="character" w:customStyle="1" w:styleId="Fontepargpadro2">
    <w:name w:val="Fonte parág. padrão2"/>
    <w:rsid w:val="005A0ABD"/>
  </w:style>
  <w:style w:type="character" w:customStyle="1" w:styleId="WW-Absatz-Standardschriftart1111111111">
    <w:name w:val="WW-Absatz-Standardschriftart1111111111"/>
    <w:rsid w:val="005A0ABD"/>
  </w:style>
  <w:style w:type="character" w:customStyle="1" w:styleId="WW-Absatz-Standardschriftart11111111111">
    <w:name w:val="WW-Absatz-Standardschriftart11111111111"/>
    <w:rsid w:val="005A0ABD"/>
  </w:style>
  <w:style w:type="character" w:customStyle="1" w:styleId="WW8Num3z5">
    <w:name w:val="WW8Num3z5"/>
    <w:rsid w:val="005A0ABD"/>
    <w:rPr>
      <w:shd w:val="clear" w:color="auto" w:fill="FFFFFF"/>
    </w:rPr>
  </w:style>
  <w:style w:type="character" w:customStyle="1" w:styleId="WW8Num4z5">
    <w:name w:val="WW8Num4z5"/>
    <w:rsid w:val="005A0ABD"/>
    <w:rPr>
      <w:shd w:val="clear" w:color="auto" w:fill="FFFFFF"/>
    </w:rPr>
  </w:style>
  <w:style w:type="character" w:customStyle="1" w:styleId="WW-Absatz-Standardschriftart111111111111">
    <w:name w:val="WW-Absatz-Standardschriftart111111111111"/>
    <w:rsid w:val="005A0ABD"/>
  </w:style>
  <w:style w:type="character" w:customStyle="1" w:styleId="WW-Absatz-Standardschriftart1111111111111">
    <w:name w:val="WW-Absatz-Standardschriftart1111111111111"/>
    <w:rsid w:val="005A0ABD"/>
  </w:style>
  <w:style w:type="character" w:customStyle="1" w:styleId="WW-Absatz-Standardschriftart11111111111111">
    <w:name w:val="WW-Absatz-Standardschriftart11111111111111"/>
    <w:rsid w:val="005A0ABD"/>
  </w:style>
  <w:style w:type="character" w:customStyle="1" w:styleId="WW-Absatz-Standardschriftart111111111111111">
    <w:name w:val="WW-Absatz-Standardschriftart111111111111111"/>
    <w:rsid w:val="005A0ABD"/>
  </w:style>
  <w:style w:type="character" w:customStyle="1" w:styleId="WW-Absatz-Standardschriftart1111111111111111">
    <w:name w:val="WW-Absatz-Standardschriftart1111111111111111"/>
    <w:rsid w:val="005A0ABD"/>
  </w:style>
  <w:style w:type="character" w:customStyle="1" w:styleId="WW-Absatz-Standardschriftart11111111111111111">
    <w:name w:val="WW-Absatz-Standardschriftart11111111111111111"/>
    <w:rsid w:val="005A0ABD"/>
  </w:style>
  <w:style w:type="character" w:customStyle="1" w:styleId="WW-Absatz-Standardschriftart111111111111111111">
    <w:name w:val="WW-Absatz-Standardschriftart111111111111111111"/>
    <w:rsid w:val="005A0ABD"/>
  </w:style>
  <w:style w:type="character" w:customStyle="1" w:styleId="WW-Absatz-Standardschriftart1111111111111111111">
    <w:name w:val="WW-Absatz-Standardschriftart1111111111111111111"/>
    <w:rsid w:val="005A0ABD"/>
  </w:style>
  <w:style w:type="character" w:customStyle="1" w:styleId="WW-Absatz-Standardschriftart11111111111111111111">
    <w:name w:val="WW-Absatz-Standardschriftart11111111111111111111"/>
    <w:rsid w:val="005A0ABD"/>
  </w:style>
  <w:style w:type="character" w:customStyle="1" w:styleId="WW-Absatz-Standardschriftart111111111111111111111">
    <w:name w:val="WW-Absatz-Standardschriftart111111111111111111111"/>
    <w:rsid w:val="005A0ABD"/>
  </w:style>
  <w:style w:type="character" w:customStyle="1" w:styleId="WW-Absatz-Standardschriftart1111111111111111111111">
    <w:name w:val="WW-Absatz-Standardschriftart1111111111111111111111"/>
    <w:rsid w:val="005A0ABD"/>
  </w:style>
  <w:style w:type="character" w:customStyle="1" w:styleId="WW-Absatz-Standardschriftart11111111111111111111111">
    <w:name w:val="WW-Absatz-Standardschriftart11111111111111111111111"/>
    <w:rsid w:val="005A0ABD"/>
  </w:style>
  <w:style w:type="character" w:customStyle="1" w:styleId="WW-Absatz-Standardschriftart111111111111111111111111">
    <w:name w:val="WW-Absatz-Standardschriftart111111111111111111111111"/>
    <w:rsid w:val="005A0ABD"/>
  </w:style>
  <w:style w:type="character" w:customStyle="1" w:styleId="WW8Num3z0">
    <w:name w:val="WW8Num3z0"/>
    <w:rsid w:val="005A0ABD"/>
    <w:rPr>
      <w:b/>
    </w:rPr>
  </w:style>
  <w:style w:type="character" w:customStyle="1" w:styleId="WW8Num5z0">
    <w:name w:val="WW8Num5z0"/>
    <w:rsid w:val="005A0ABD"/>
    <w:rPr>
      <w:rFonts w:ascii="Symbol" w:hAnsi="Symbol"/>
    </w:rPr>
  </w:style>
  <w:style w:type="character" w:customStyle="1" w:styleId="WW8Num5z1">
    <w:name w:val="WW8Num5z1"/>
    <w:rsid w:val="005A0ABD"/>
    <w:rPr>
      <w:rFonts w:ascii="Courier New" w:hAnsi="Courier New" w:cs="Courier New"/>
    </w:rPr>
  </w:style>
  <w:style w:type="character" w:customStyle="1" w:styleId="WW8Num5z2">
    <w:name w:val="WW8Num5z2"/>
    <w:rsid w:val="005A0ABD"/>
    <w:rPr>
      <w:rFonts w:ascii="Wingdings" w:hAnsi="Wingdings"/>
    </w:rPr>
  </w:style>
  <w:style w:type="character" w:customStyle="1" w:styleId="WW8Num7z0">
    <w:name w:val="WW8Num7z0"/>
    <w:rsid w:val="005A0ABD"/>
    <w:rPr>
      <w:b/>
    </w:rPr>
  </w:style>
  <w:style w:type="character" w:customStyle="1" w:styleId="WW8Num9z0">
    <w:name w:val="WW8Num9z0"/>
    <w:rsid w:val="005A0ABD"/>
    <w:rPr>
      <w:rFonts w:ascii="Wingdings" w:hAnsi="Wingdings"/>
      <w:sz w:val="20"/>
    </w:rPr>
  </w:style>
  <w:style w:type="character" w:customStyle="1" w:styleId="WW8Num9z1">
    <w:name w:val="WW8Num9z1"/>
    <w:rsid w:val="005A0ABD"/>
    <w:rPr>
      <w:rFonts w:ascii="Courier New" w:hAnsi="Courier New" w:cs="Courier New"/>
    </w:rPr>
  </w:style>
  <w:style w:type="character" w:customStyle="1" w:styleId="WW8Num9z2">
    <w:name w:val="WW8Num9z2"/>
    <w:rsid w:val="005A0ABD"/>
    <w:rPr>
      <w:rFonts w:ascii="Wingdings" w:hAnsi="Wingdings"/>
    </w:rPr>
  </w:style>
  <w:style w:type="character" w:customStyle="1" w:styleId="WW8Num9z3">
    <w:name w:val="WW8Num9z3"/>
    <w:rsid w:val="005A0ABD"/>
    <w:rPr>
      <w:rFonts w:ascii="Symbol" w:hAnsi="Symbol"/>
    </w:rPr>
  </w:style>
  <w:style w:type="character" w:customStyle="1" w:styleId="Fontepargpadro1">
    <w:name w:val="Fonte parág. padrão1"/>
    <w:rsid w:val="005A0ABD"/>
  </w:style>
  <w:style w:type="character" w:styleId="Hyperlink">
    <w:name w:val="Hyperlink"/>
    <w:rsid w:val="005A0ABD"/>
    <w:rPr>
      <w:color w:val="0000FF"/>
      <w:u w:val="single"/>
    </w:rPr>
  </w:style>
  <w:style w:type="character" w:styleId="Nmerodepgina">
    <w:name w:val="page number"/>
    <w:basedOn w:val="Fontepargpadro1"/>
    <w:rsid w:val="005A0ABD"/>
  </w:style>
  <w:style w:type="character" w:customStyle="1" w:styleId="EMENTAChar">
    <w:name w:val="EMENTA Char"/>
    <w:rsid w:val="005A0ABD"/>
    <w:rPr>
      <w:rFonts w:ascii="CG Times" w:hAnsi="CG Times"/>
      <w:b/>
      <w:sz w:val="24"/>
      <w:lang w:val="pt-BR" w:eastAsia="ar-SA" w:bidi="ar-SA"/>
    </w:rPr>
  </w:style>
  <w:style w:type="character" w:customStyle="1" w:styleId="Smbolosdenumerao">
    <w:name w:val="Símbolos de numeração"/>
    <w:rsid w:val="005A0ABD"/>
    <w:rPr>
      <w:shd w:val="clear" w:color="auto" w:fill="FFFFFF"/>
    </w:rPr>
  </w:style>
  <w:style w:type="paragraph" w:customStyle="1" w:styleId="Ttulo40">
    <w:name w:val="Título4"/>
    <w:basedOn w:val="Normal"/>
    <w:next w:val="Corpodetexto"/>
    <w:rsid w:val="005A0ABD"/>
    <w:pPr>
      <w:keepNext/>
      <w:spacing w:before="240" w:after="120"/>
    </w:pPr>
    <w:rPr>
      <w:rFonts w:ascii="Arial" w:eastAsia="Arial Unicode MS" w:hAnsi="Arial" w:cs="Tahoma"/>
      <w:sz w:val="28"/>
      <w:szCs w:val="28"/>
    </w:rPr>
  </w:style>
  <w:style w:type="paragraph" w:styleId="Corpodetexto">
    <w:name w:val="Body Text"/>
    <w:basedOn w:val="Normal"/>
    <w:rsid w:val="005A0ABD"/>
    <w:pPr>
      <w:spacing w:after="120"/>
    </w:pPr>
  </w:style>
  <w:style w:type="paragraph" w:styleId="Lista">
    <w:name w:val="List"/>
    <w:basedOn w:val="Corpodetexto"/>
    <w:rsid w:val="005A0ABD"/>
    <w:rPr>
      <w:rFonts w:cs="Tahoma"/>
    </w:rPr>
  </w:style>
  <w:style w:type="paragraph" w:customStyle="1" w:styleId="Legenda4">
    <w:name w:val="Legenda4"/>
    <w:basedOn w:val="Normal"/>
    <w:rsid w:val="005A0ABD"/>
    <w:pPr>
      <w:suppressLineNumbers/>
      <w:spacing w:before="120" w:after="120"/>
    </w:pPr>
    <w:rPr>
      <w:rFonts w:cs="Tahoma"/>
      <w:i/>
      <w:iCs/>
      <w:sz w:val="24"/>
      <w:szCs w:val="24"/>
    </w:rPr>
  </w:style>
  <w:style w:type="paragraph" w:customStyle="1" w:styleId="ndice">
    <w:name w:val="Índice"/>
    <w:basedOn w:val="Normal"/>
    <w:rsid w:val="005A0ABD"/>
    <w:pPr>
      <w:suppressLineNumbers/>
    </w:pPr>
    <w:rPr>
      <w:rFonts w:cs="Tahoma"/>
    </w:rPr>
  </w:style>
  <w:style w:type="paragraph" w:customStyle="1" w:styleId="Ttulo30">
    <w:name w:val="Título3"/>
    <w:basedOn w:val="Normal"/>
    <w:next w:val="Corpodetexto"/>
    <w:rsid w:val="005A0ABD"/>
    <w:pPr>
      <w:keepNext/>
      <w:spacing w:before="240" w:after="120"/>
    </w:pPr>
    <w:rPr>
      <w:rFonts w:ascii="Arial" w:eastAsia="Arial Unicode MS" w:hAnsi="Arial" w:cs="Tahoma"/>
      <w:sz w:val="28"/>
      <w:szCs w:val="28"/>
    </w:rPr>
  </w:style>
  <w:style w:type="paragraph" w:customStyle="1" w:styleId="Legenda3">
    <w:name w:val="Legenda3"/>
    <w:basedOn w:val="Normal"/>
    <w:rsid w:val="005A0ABD"/>
    <w:pPr>
      <w:suppressLineNumbers/>
      <w:spacing w:before="120" w:after="120"/>
    </w:pPr>
    <w:rPr>
      <w:rFonts w:cs="Tahoma"/>
      <w:i/>
      <w:iCs/>
      <w:sz w:val="24"/>
      <w:szCs w:val="24"/>
    </w:rPr>
  </w:style>
  <w:style w:type="paragraph" w:styleId="Ttulo">
    <w:name w:val="Title"/>
    <w:basedOn w:val="Ttulo30"/>
    <w:next w:val="Subttulo"/>
    <w:rsid w:val="005A0ABD"/>
  </w:style>
  <w:style w:type="paragraph" w:styleId="Subttulo">
    <w:name w:val="Subtitle"/>
    <w:basedOn w:val="Ttulo30"/>
    <w:next w:val="Corpodetexto"/>
    <w:rsid w:val="005A0ABD"/>
    <w:pPr>
      <w:jc w:val="center"/>
    </w:pPr>
    <w:rPr>
      <w:i/>
      <w:iCs/>
    </w:rPr>
  </w:style>
  <w:style w:type="paragraph" w:customStyle="1" w:styleId="Ttulo20">
    <w:name w:val="Título2"/>
    <w:basedOn w:val="Normal"/>
    <w:next w:val="Corpodetexto"/>
    <w:rsid w:val="005A0ABD"/>
    <w:pPr>
      <w:keepNext/>
      <w:spacing w:before="240" w:after="120"/>
    </w:pPr>
    <w:rPr>
      <w:rFonts w:ascii="Arial" w:eastAsia="Arial Unicode MS" w:hAnsi="Arial" w:cs="Tahoma"/>
      <w:sz w:val="28"/>
      <w:szCs w:val="28"/>
    </w:rPr>
  </w:style>
  <w:style w:type="paragraph" w:customStyle="1" w:styleId="Legenda2">
    <w:name w:val="Legenda2"/>
    <w:basedOn w:val="Normal"/>
    <w:rsid w:val="005A0ABD"/>
    <w:pPr>
      <w:suppressLineNumbers/>
      <w:spacing w:before="120" w:after="120"/>
    </w:pPr>
    <w:rPr>
      <w:rFonts w:cs="Tahoma"/>
      <w:i/>
      <w:iCs/>
      <w:sz w:val="24"/>
      <w:szCs w:val="24"/>
    </w:rPr>
  </w:style>
  <w:style w:type="paragraph" w:customStyle="1" w:styleId="Ttulo10">
    <w:name w:val="Título1"/>
    <w:basedOn w:val="Normal"/>
    <w:next w:val="Corpodetexto"/>
    <w:rsid w:val="005A0ABD"/>
    <w:pPr>
      <w:keepNext/>
      <w:spacing w:before="240" w:after="120"/>
    </w:pPr>
    <w:rPr>
      <w:rFonts w:ascii="Arial" w:eastAsia="Arial Unicode MS" w:hAnsi="Arial" w:cs="Tahoma"/>
      <w:sz w:val="28"/>
      <w:szCs w:val="28"/>
    </w:rPr>
  </w:style>
  <w:style w:type="paragraph" w:customStyle="1" w:styleId="Legenda1">
    <w:name w:val="Legenda1"/>
    <w:basedOn w:val="Normal"/>
    <w:next w:val="Normal"/>
    <w:rsid w:val="005A0ABD"/>
    <w:pPr>
      <w:ind w:right="-93"/>
      <w:jc w:val="center"/>
    </w:pPr>
    <w:rPr>
      <w:b/>
      <w:sz w:val="22"/>
    </w:rPr>
  </w:style>
  <w:style w:type="paragraph" w:styleId="Recuodecorpodetexto">
    <w:name w:val="Body Text Indent"/>
    <w:basedOn w:val="Normal"/>
    <w:rsid w:val="005A0ABD"/>
    <w:pPr>
      <w:tabs>
        <w:tab w:val="left" w:pos="1418"/>
      </w:tabs>
      <w:ind w:right="-1" w:firstLine="1701"/>
      <w:jc w:val="both"/>
    </w:pPr>
  </w:style>
  <w:style w:type="paragraph" w:customStyle="1" w:styleId="Normal11pt">
    <w:name w:val="Normal + 11 pt"/>
    <w:basedOn w:val="Normal"/>
    <w:rsid w:val="005A0ABD"/>
    <w:pPr>
      <w:ind w:right="-759"/>
      <w:jc w:val="both"/>
    </w:pPr>
    <w:rPr>
      <w:b/>
      <w:sz w:val="22"/>
      <w:szCs w:val="22"/>
    </w:rPr>
  </w:style>
  <w:style w:type="paragraph" w:customStyle="1" w:styleId="Ttulo100">
    <w:name w:val="Título 10"/>
    <w:basedOn w:val="Normal"/>
    <w:next w:val="Corpodetexto"/>
    <w:rsid w:val="005A0ABD"/>
    <w:pPr>
      <w:keepNext/>
      <w:spacing w:before="240" w:after="120"/>
    </w:pPr>
    <w:rPr>
      <w:rFonts w:ascii="Arial" w:eastAsia="MS Mincho" w:hAnsi="Arial" w:cs="Tahoma"/>
      <w:b/>
      <w:bCs/>
      <w:sz w:val="21"/>
      <w:szCs w:val="21"/>
    </w:rPr>
  </w:style>
  <w:style w:type="paragraph" w:styleId="Cabealho">
    <w:name w:val="header"/>
    <w:basedOn w:val="Normal"/>
    <w:link w:val="CabealhoChar"/>
    <w:uiPriority w:val="99"/>
    <w:rsid w:val="005A0ABD"/>
    <w:pPr>
      <w:tabs>
        <w:tab w:val="center" w:pos="4252"/>
        <w:tab w:val="right" w:pos="8504"/>
      </w:tabs>
    </w:pPr>
  </w:style>
  <w:style w:type="paragraph" w:styleId="Rodap">
    <w:name w:val="footer"/>
    <w:basedOn w:val="Normal"/>
    <w:rsid w:val="005A0ABD"/>
    <w:pPr>
      <w:tabs>
        <w:tab w:val="center" w:pos="4252"/>
        <w:tab w:val="right" w:pos="8504"/>
      </w:tabs>
    </w:pPr>
  </w:style>
  <w:style w:type="paragraph" w:customStyle="1" w:styleId="Recuodecorpodetexto31">
    <w:name w:val="Recuo de corpo de texto 31"/>
    <w:basedOn w:val="Normal"/>
    <w:rsid w:val="005A0ABD"/>
    <w:pPr>
      <w:spacing w:after="120"/>
      <w:ind w:left="283"/>
    </w:pPr>
    <w:rPr>
      <w:sz w:val="16"/>
      <w:szCs w:val="16"/>
    </w:rPr>
  </w:style>
  <w:style w:type="paragraph" w:customStyle="1" w:styleId="Recuodecorpodetexto21">
    <w:name w:val="Recuo de corpo de texto 21"/>
    <w:basedOn w:val="Normal"/>
    <w:rsid w:val="005A0ABD"/>
    <w:pPr>
      <w:spacing w:after="120" w:line="480" w:lineRule="auto"/>
      <w:ind w:left="283"/>
    </w:pPr>
  </w:style>
  <w:style w:type="paragraph" w:customStyle="1" w:styleId="Corpodetexto21">
    <w:name w:val="Corpo de texto 21"/>
    <w:basedOn w:val="Normal"/>
    <w:rsid w:val="005A0ABD"/>
    <w:pPr>
      <w:spacing w:after="120" w:line="480" w:lineRule="auto"/>
    </w:pPr>
  </w:style>
  <w:style w:type="paragraph" w:customStyle="1" w:styleId="Normal12pt">
    <w:name w:val="Normal + 12 pt"/>
    <w:basedOn w:val="Recuodecorpodetexto31"/>
    <w:rsid w:val="005A0ABD"/>
    <w:pPr>
      <w:spacing w:after="0" w:line="360" w:lineRule="auto"/>
      <w:ind w:left="0"/>
      <w:jc w:val="both"/>
    </w:pPr>
    <w:rPr>
      <w:b/>
      <w:sz w:val="24"/>
      <w:szCs w:val="24"/>
    </w:rPr>
  </w:style>
  <w:style w:type="paragraph" w:customStyle="1" w:styleId="Contedodetabela">
    <w:name w:val="Conteúdo de tabela"/>
    <w:basedOn w:val="Normal"/>
    <w:rsid w:val="005A0ABD"/>
    <w:pPr>
      <w:suppressLineNumbers/>
    </w:pPr>
  </w:style>
  <w:style w:type="paragraph" w:customStyle="1" w:styleId="Ttulodetabela">
    <w:name w:val="Título de tabela"/>
    <w:basedOn w:val="Contedodetabela"/>
    <w:rsid w:val="005A0ABD"/>
    <w:pPr>
      <w:jc w:val="center"/>
    </w:pPr>
    <w:rPr>
      <w:b/>
      <w:bCs/>
    </w:rPr>
  </w:style>
  <w:style w:type="paragraph" w:styleId="Textodebalo">
    <w:name w:val="Balloon Text"/>
    <w:basedOn w:val="Normal"/>
    <w:rsid w:val="005A0ABD"/>
    <w:rPr>
      <w:rFonts w:ascii="Tahoma" w:hAnsi="Tahoma" w:cs="Tahoma"/>
      <w:sz w:val="16"/>
      <w:szCs w:val="16"/>
    </w:rPr>
  </w:style>
  <w:style w:type="paragraph" w:customStyle="1" w:styleId="Saudao1">
    <w:name w:val="Saudação1"/>
    <w:basedOn w:val="Normal"/>
    <w:rsid w:val="005A0ABD"/>
    <w:pPr>
      <w:widowControl w:val="0"/>
      <w:jc w:val="both"/>
    </w:pPr>
    <w:rPr>
      <w:rFonts w:ascii="Arial" w:eastAsia="Arial Unicode MS" w:hAnsi="Arial"/>
      <w:sz w:val="24"/>
    </w:rPr>
  </w:style>
  <w:style w:type="paragraph" w:styleId="PargrafodaLista">
    <w:name w:val="List Paragraph"/>
    <w:basedOn w:val="Normal"/>
    <w:link w:val="PargrafodaListaChar"/>
    <w:uiPriority w:val="1"/>
    <w:qFormat/>
    <w:rsid w:val="005A0ABD"/>
    <w:pPr>
      <w:ind w:left="720"/>
    </w:pPr>
    <w:rPr>
      <w:rFonts w:ascii="Arial" w:hAnsi="Arial" w:cs="Tahoma"/>
      <w:szCs w:val="24"/>
      <w:lang w:eastAsia="pt-BR"/>
    </w:rPr>
  </w:style>
  <w:style w:type="paragraph" w:styleId="NormalWeb">
    <w:name w:val="Normal (Web)"/>
    <w:basedOn w:val="Normal"/>
    <w:uiPriority w:val="99"/>
    <w:rsid w:val="005A0ABD"/>
    <w:pPr>
      <w:spacing w:before="100" w:after="100"/>
    </w:pPr>
    <w:rPr>
      <w:sz w:val="24"/>
      <w:szCs w:val="24"/>
      <w:lang w:eastAsia="pt-BR"/>
    </w:rPr>
  </w:style>
  <w:style w:type="paragraph" w:styleId="Citao">
    <w:name w:val="Quote"/>
    <w:basedOn w:val="Normal"/>
    <w:next w:val="Normal"/>
    <w:rsid w:val="005A0ABD"/>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ascii="Ecofont_Spranq_eco_Sans" w:hAnsi="Ecofont_Spranq_eco_Sans"/>
      <w:i/>
      <w:iCs/>
      <w:color w:val="000000"/>
      <w:szCs w:val="24"/>
      <w:lang w:eastAsia="en-US"/>
    </w:rPr>
  </w:style>
  <w:style w:type="character" w:customStyle="1" w:styleId="QuoteChar">
    <w:name w:val="Quote Char"/>
    <w:rsid w:val="005A0ABD"/>
    <w:rPr>
      <w:rFonts w:ascii="Ecofont_Spranq_eco_Sans" w:hAnsi="Ecofont_Spranq_eco_Sans"/>
      <w:i/>
      <w:iCs/>
      <w:color w:val="000000"/>
      <w:szCs w:val="24"/>
      <w:lang w:val="pt-BR" w:eastAsia="en-US" w:bidi="ar-SA"/>
    </w:rPr>
  </w:style>
  <w:style w:type="paragraph" w:customStyle="1" w:styleId="western">
    <w:name w:val="western"/>
    <w:basedOn w:val="Normal"/>
    <w:rsid w:val="005A0ABD"/>
    <w:pPr>
      <w:spacing w:before="100" w:after="119"/>
    </w:pPr>
    <w:rPr>
      <w:sz w:val="24"/>
      <w:szCs w:val="24"/>
      <w:lang w:eastAsia="pt-BR"/>
    </w:rPr>
  </w:style>
  <w:style w:type="character" w:customStyle="1" w:styleId="QuoteChar1">
    <w:name w:val="Quote Char1"/>
    <w:rsid w:val="005A0ABD"/>
    <w:rPr>
      <w:rFonts w:ascii="Arial" w:eastAsia="Times New Roman" w:hAnsi="Arial"/>
      <w:i/>
      <w:color w:val="000000"/>
      <w:sz w:val="24"/>
      <w:shd w:val="clear" w:color="auto" w:fill="FFFFCC"/>
    </w:rPr>
  </w:style>
  <w:style w:type="paragraph" w:customStyle="1" w:styleId="SombreamentoMdio1-nfase31">
    <w:name w:val="Sombreamento Médio 1 - Ênfase 31"/>
    <w:basedOn w:val="Normal"/>
    <w:next w:val="Normal"/>
    <w:rsid w:val="005A0ABD"/>
    <w:pPr>
      <w:pBdr>
        <w:top w:val="single" w:sz="4" w:space="0" w:color="000080"/>
        <w:left w:val="single" w:sz="4" w:space="0" w:color="000080"/>
        <w:bottom w:val="single" w:sz="4" w:space="0" w:color="000080"/>
        <w:right w:val="single" w:sz="4" w:space="0" w:color="000080"/>
      </w:pBdr>
      <w:shd w:val="clear" w:color="auto" w:fill="FFFFCC"/>
      <w:spacing w:before="120"/>
      <w:jc w:val="both"/>
    </w:pPr>
    <w:rPr>
      <w:rFonts w:ascii="Ecofont_Spranq_eco_Sans" w:hAnsi="Ecofont_Spranq_eco_Sans" w:cs="Tahoma"/>
      <w:i/>
      <w:iCs/>
      <w:color w:val="000000"/>
      <w:szCs w:val="24"/>
      <w:lang w:eastAsia="zh-CN"/>
    </w:rPr>
  </w:style>
  <w:style w:type="character" w:customStyle="1" w:styleId="Nivel1Char">
    <w:name w:val="Nivel1 Char"/>
    <w:rsid w:val="005A0ABD"/>
    <w:rPr>
      <w:rFonts w:ascii="Arial" w:eastAsia="MS Gothic" w:hAnsi="Arial" w:cs="Arial"/>
      <w:b/>
      <w:color w:val="000000"/>
      <w:lang w:val="pt-BR" w:eastAsia="pt-BR" w:bidi="ar-SA"/>
    </w:rPr>
  </w:style>
  <w:style w:type="paragraph" w:customStyle="1" w:styleId="Nivel2">
    <w:name w:val="Nivel 2"/>
    <w:rsid w:val="005A0ABD"/>
    <w:pPr>
      <w:suppressAutoHyphens/>
      <w:spacing w:before="120" w:after="120" w:line="276" w:lineRule="auto"/>
      <w:jc w:val="both"/>
    </w:pPr>
    <w:rPr>
      <w:rFonts w:ascii="Ecofont_Spranq_eco_Sans" w:hAnsi="Ecofont_Spranq_eco_Sans"/>
    </w:rPr>
  </w:style>
  <w:style w:type="paragraph" w:customStyle="1" w:styleId="Nivel10">
    <w:name w:val="Nivel 1"/>
    <w:basedOn w:val="Nivel2"/>
    <w:next w:val="Nivel2"/>
    <w:rsid w:val="005A0ABD"/>
    <w:pPr>
      <w:tabs>
        <w:tab w:val="left" w:pos="360"/>
      </w:tabs>
      <w:ind w:left="644" w:hanging="432"/>
    </w:pPr>
    <w:rPr>
      <w:rFonts w:cs="Arial"/>
      <w:b/>
    </w:rPr>
  </w:style>
  <w:style w:type="paragraph" w:customStyle="1" w:styleId="Nivel3">
    <w:name w:val="Nivel 3"/>
    <w:basedOn w:val="Nivel2"/>
    <w:rsid w:val="005A0ABD"/>
    <w:pPr>
      <w:tabs>
        <w:tab w:val="left" w:pos="720"/>
      </w:tabs>
      <w:ind w:left="1922" w:hanging="720"/>
    </w:pPr>
    <w:rPr>
      <w:rFonts w:cs="Arial"/>
      <w:color w:val="000000"/>
    </w:rPr>
  </w:style>
  <w:style w:type="paragraph" w:customStyle="1" w:styleId="Nivel4">
    <w:name w:val="Nivel 4"/>
    <w:basedOn w:val="Nivel3"/>
    <w:rsid w:val="005A0ABD"/>
    <w:pPr>
      <w:tabs>
        <w:tab w:val="clear" w:pos="720"/>
        <w:tab w:val="left" w:pos="1080"/>
      </w:tabs>
      <w:ind w:left="2491" w:hanging="1080"/>
    </w:pPr>
    <w:rPr>
      <w:color w:val="auto"/>
    </w:rPr>
  </w:style>
  <w:style w:type="paragraph" w:customStyle="1" w:styleId="Nivel5">
    <w:name w:val="Nivel 5"/>
    <w:basedOn w:val="Nivel4"/>
    <w:rsid w:val="005A0ABD"/>
    <w:pPr>
      <w:numPr>
        <w:numId w:val="2"/>
      </w:numPr>
    </w:pPr>
  </w:style>
  <w:style w:type="character" w:customStyle="1" w:styleId="Nivel2Char">
    <w:name w:val="Nivel 2 Char"/>
    <w:rsid w:val="005A0ABD"/>
    <w:rPr>
      <w:rFonts w:ascii="Ecofont_Spranq_eco_Sans" w:hAnsi="Ecofont_Spranq_eco_Sans"/>
      <w:lang w:val="pt-BR" w:eastAsia="pt-BR" w:bidi="ar-SA"/>
    </w:rPr>
  </w:style>
  <w:style w:type="character" w:styleId="Forte">
    <w:name w:val="Strong"/>
    <w:basedOn w:val="Fontepargpadro"/>
    <w:rsid w:val="005A0ABD"/>
    <w:rPr>
      <w:b/>
      <w:bCs/>
    </w:rPr>
  </w:style>
  <w:style w:type="paragraph" w:styleId="Textodenotaderodap">
    <w:name w:val="footnote text"/>
    <w:basedOn w:val="Normal"/>
    <w:rsid w:val="005A0ABD"/>
    <w:pPr>
      <w:suppressAutoHyphens w:val="0"/>
      <w:textAlignment w:val="auto"/>
    </w:pPr>
  </w:style>
  <w:style w:type="character" w:customStyle="1" w:styleId="TextodenotaderodapChar">
    <w:name w:val="Texto de nota de rodapé Char"/>
    <w:basedOn w:val="Fontepargpadro"/>
    <w:rsid w:val="005A0ABD"/>
    <w:rPr>
      <w:lang w:eastAsia="ar-SA"/>
    </w:rPr>
  </w:style>
  <w:style w:type="numbering" w:customStyle="1" w:styleId="LFO2">
    <w:name w:val="LFO2"/>
    <w:basedOn w:val="Semlista"/>
    <w:rsid w:val="005A0ABD"/>
    <w:pPr>
      <w:numPr>
        <w:numId w:val="1"/>
      </w:numPr>
    </w:pPr>
  </w:style>
  <w:style w:type="numbering" w:customStyle="1" w:styleId="LFO6">
    <w:name w:val="LFO6"/>
    <w:basedOn w:val="Semlista"/>
    <w:rsid w:val="005A0ABD"/>
    <w:pPr>
      <w:numPr>
        <w:numId w:val="2"/>
      </w:numPr>
    </w:pPr>
  </w:style>
  <w:style w:type="table" w:styleId="Tabelacomgrade">
    <w:name w:val="Table Grid"/>
    <w:basedOn w:val="Tabelanormal"/>
    <w:uiPriority w:val="59"/>
    <w:rsid w:val="003C3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C3386"/>
    <w:pPr>
      <w:widowControl w:val="0"/>
      <w:suppressAutoHyphens/>
    </w:pPr>
    <w:rPr>
      <w:rFonts w:ascii="Caladea" w:eastAsia="Caladea" w:hAnsi="Caladea" w:cs="Caladea"/>
      <w:kern w:val="3"/>
      <w:sz w:val="24"/>
      <w:szCs w:val="24"/>
      <w:lang w:eastAsia="zh-CN" w:bidi="hi-IN"/>
    </w:rPr>
  </w:style>
  <w:style w:type="character" w:customStyle="1" w:styleId="PargrafodaListaChar">
    <w:name w:val="Parágrafo da Lista Char"/>
    <w:link w:val="PargrafodaLista"/>
    <w:uiPriority w:val="1"/>
    <w:locked/>
    <w:rsid w:val="00DC569D"/>
    <w:rPr>
      <w:rFonts w:ascii="Arial" w:hAnsi="Arial" w:cs="Tahoma"/>
      <w:szCs w:val="24"/>
    </w:rPr>
  </w:style>
  <w:style w:type="character" w:customStyle="1" w:styleId="CabealhoChar">
    <w:name w:val="Cabeçalho Char"/>
    <w:basedOn w:val="Fontepargpadro"/>
    <w:link w:val="Cabealho"/>
    <w:uiPriority w:val="99"/>
    <w:rsid w:val="00ED7075"/>
    <w:rPr>
      <w:lang w:eastAsia="ar-SA"/>
    </w:rPr>
  </w:style>
  <w:style w:type="character" w:customStyle="1" w:styleId="Ttulo3Char">
    <w:name w:val="Título 3 Char"/>
    <w:basedOn w:val="Fontepargpadro"/>
    <w:link w:val="Ttulo3"/>
    <w:uiPriority w:val="9"/>
    <w:semiHidden/>
    <w:rsid w:val="00100CFD"/>
    <w:rPr>
      <w:rFonts w:asciiTheme="majorHAnsi" w:eastAsiaTheme="majorEastAsia" w:hAnsiTheme="majorHAnsi" w:cstheme="majorBidi"/>
      <w:color w:val="243F60" w:themeColor="accent1" w:themeShade="7F"/>
      <w:sz w:val="24"/>
      <w:szCs w:val="24"/>
      <w:lang w:eastAsia="ar-SA"/>
    </w:rPr>
  </w:style>
  <w:style w:type="character" w:styleId="MenoPendente">
    <w:name w:val="Unresolved Mention"/>
    <w:basedOn w:val="Fontepargpadro"/>
    <w:uiPriority w:val="99"/>
    <w:semiHidden/>
    <w:unhideWhenUsed/>
    <w:rsid w:val="00136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79905">
      <w:bodyDiv w:val="1"/>
      <w:marLeft w:val="0"/>
      <w:marRight w:val="0"/>
      <w:marTop w:val="0"/>
      <w:marBottom w:val="0"/>
      <w:divBdr>
        <w:top w:val="none" w:sz="0" w:space="0" w:color="auto"/>
        <w:left w:val="none" w:sz="0" w:space="0" w:color="auto"/>
        <w:bottom w:val="none" w:sz="0" w:space="0" w:color="auto"/>
        <w:right w:val="none" w:sz="0" w:space="0" w:color="auto"/>
      </w:divBdr>
    </w:div>
    <w:div w:id="670639484">
      <w:bodyDiv w:val="1"/>
      <w:marLeft w:val="0"/>
      <w:marRight w:val="0"/>
      <w:marTop w:val="0"/>
      <w:marBottom w:val="0"/>
      <w:divBdr>
        <w:top w:val="none" w:sz="0" w:space="0" w:color="auto"/>
        <w:left w:val="none" w:sz="0" w:space="0" w:color="auto"/>
        <w:bottom w:val="none" w:sz="0" w:space="0" w:color="auto"/>
        <w:right w:val="none" w:sz="0" w:space="0" w:color="auto"/>
      </w:divBdr>
    </w:div>
    <w:div w:id="831409384">
      <w:bodyDiv w:val="1"/>
      <w:marLeft w:val="0"/>
      <w:marRight w:val="0"/>
      <w:marTop w:val="0"/>
      <w:marBottom w:val="0"/>
      <w:divBdr>
        <w:top w:val="none" w:sz="0" w:space="0" w:color="auto"/>
        <w:left w:val="none" w:sz="0" w:space="0" w:color="auto"/>
        <w:bottom w:val="none" w:sz="0" w:space="0" w:color="auto"/>
        <w:right w:val="none" w:sz="0" w:space="0" w:color="auto"/>
      </w:divBdr>
      <w:divsChild>
        <w:div w:id="2019112635">
          <w:marLeft w:val="-228"/>
          <w:marRight w:val="0"/>
          <w:marTop w:val="0"/>
          <w:marBottom w:val="0"/>
          <w:divBdr>
            <w:top w:val="none" w:sz="0" w:space="0" w:color="auto"/>
            <w:left w:val="none" w:sz="0" w:space="0" w:color="auto"/>
            <w:bottom w:val="none" w:sz="0" w:space="0" w:color="auto"/>
            <w:right w:val="none" w:sz="0" w:space="0" w:color="auto"/>
          </w:divBdr>
        </w:div>
      </w:divsChild>
    </w:div>
    <w:div w:id="1322779972">
      <w:bodyDiv w:val="1"/>
      <w:marLeft w:val="0"/>
      <w:marRight w:val="0"/>
      <w:marTop w:val="0"/>
      <w:marBottom w:val="0"/>
      <w:divBdr>
        <w:top w:val="none" w:sz="0" w:space="0" w:color="auto"/>
        <w:left w:val="none" w:sz="0" w:space="0" w:color="auto"/>
        <w:bottom w:val="none" w:sz="0" w:space="0" w:color="auto"/>
        <w:right w:val="none" w:sz="0" w:space="0" w:color="auto"/>
      </w:divBdr>
    </w:div>
    <w:div w:id="1665476178">
      <w:bodyDiv w:val="1"/>
      <w:marLeft w:val="0"/>
      <w:marRight w:val="0"/>
      <w:marTop w:val="0"/>
      <w:marBottom w:val="0"/>
      <w:divBdr>
        <w:top w:val="none" w:sz="0" w:space="0" w:color="auto"/>
        <w:left w:val="none" w:sz="0" w:space="0" w:color="auto"/>
        <w:bottom w:val="none" w:sz="0" w:space="0" w:color="auto"/>
        <w:right w:val="none" w:sz="0" w:space="0" w:color="auto"/>
      </w:divBdr>
    </w:div>
    <w:div w:id="174653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rt7.jus.br/files/atos_normativos/atos_presidencia/2021/BDATOPRESI64-202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t7.jus.br/files/contas_publicas/plano_contratacoes_anuais/PCA_2026_-_PLANO_DE_CONTRATACOES_ANUAL_-_PCA_-_EXERCICIO_DE_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A8B35-17D5-4297-8235-474E83D7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4650</Words>
  <Characters>25111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PODER JUDICIÁRIO</vt:lpstr>
    </vt:vector>
  </TitlesOfParts>
  <Company>Tribunal Regional do Trabalho da 7a Regiao</Company>
  <LinksUpToDate>false</LinksUpToDate>
  <CharactersWithSpaces>29702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PODER JUDICIÁRIO</dc:title>
  <dc:creator>TRT</dc:creator>
  <cp:lastModifiedBy>Paulo Brasileiro Pires Freire</cp:lastModifiedBy>
  <cp:revision>20</cp:revision>
  <cp:lastPrinted>2026-06-22T14:16:00Z</cp:lastPrinted>
  <dcterms:created xsi:type="dcterms:W3CDTF">2026-06-22T11:46:00Z</dcterms:created>
  <dcterms:modified xsi:type="dcterms:W3CDTF">2026-07-06T16:21:00Z</dcterms:modified>
</cp:coreProperties>
</file>