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ind w:left="0" w:right="-57" w:firstLine="0"/>
        <w:jc w:val="center"/>
        <w:rPr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</w:rPr>
        <w:drawing>
          <wp:inline distB="0" distT="0" distL="0" distR="0">
            <wp:extent cx="989965" cy="93916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-41" l="-42" r="-41" t="-42"/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9391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bookmarkStart w:colFirst="0" w:colLast="0" w:name="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right="-57" w:firstLine="0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PODER JUDICIÁRIO</w:t>
      </w:r>
    </w:p>
    <w:p w:rsidR="00000000" w:rsidDel="00000000" w:rsidP="00000000" w:rsidRDefault="00000000" w:rsidRPr="00000000" w14:paraId="00000003">
      <w:pPr>
        <w:ind w:left="0" w:right="-57" w:firstLine="0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JUSTIÇA DO TRABALHO</w:t>
      </w:r>
    </w:p>
    <w:p w:rsidR="00000000" w:rsidDel="00000000" w:rsidP="00000000" w:rsidRDefault="00000000" w:rsidRPr="00000000" w14:paraId="00000004">
      <w:pPr>
        <w:ind w:left="0" w:right="-57" w:firstLine="0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TRIBUNAL REGIONAL DO TRABALHO DA 7ª REGIÃO</w:t>
      </w:r>
    </w:p>
    <w:p w:rsidR="00000000" w:rsidDel="00000000" w:rsidP="00000000" w:rsidRDefault="00000000" w:rsidRPr="00000000" w14:paraId="00000005">
      <w:pPr>
        <w:ind w:left="0" w:right="-57" w:firstLine="0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DIVISÃO DE MATERIAL E LOGÍSTICA</w:t>
      </w:r>
    </w:p>
    <w:p w:rsidR="00000000" w:rsidDel="00000000" w:rsidP="00000000" w:rsidRDefault="00000000" w:rsidRPr="00000000" w14:paraId="00000006">
      <w:pPr>
        <w:ind w:left="0" w:right="-57" w:firstLine="0"/>
        <w:jc w:val="both"/>
        <w:rPr>
          <w:rFonts w:ascii="Calibri" w:cs="Calibri" w:eastAsia="Calibri" w:hAnsi="Calibri"/>
          <w:color w:val="000000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7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ESTUDOS TÉCNICOS PRELIMINARES - ETP</w:t>
      </w:r>
    </w:p>
    <w:p w:rsidR="00000000" w:rsidDel="00000000" w:rsidP="00000000" w:rsidRDefault="00000000" w:rsidRPr="00000000" w14:paraId="00000008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1.</w:t>
        <w:tab/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PROAD nº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333333"/>
          <w:sz w:val="21"/>
          <w:szCs w:val="21"/>
          <w:highlight w:val="white"/>
          <w:rtl w:val="0"/>
        </w:rPr>
        <w:t xml:space="preserve">7550/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2.</w:t>
        <w:tab/>
        <w:t xml:space="preserve">DESCRIÇÃO DA NECESSIDADE: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Atualmente o TRT 7ª Região não possui empresa especializada contratada para executar a manutenção corretiva do sistema de alarme contra incêndios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Ed. Dom Helder Câmara e Ed. Manoel Arízio de Castro,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do Fórum Autran Nunes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D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 sistema de alarme é imprescindível para detectar e controlar o incêndio antes que ele possa causar danos significativos às pessoas e à edificação. Nesse sentido, ajuda a salvar as pessoas e evitar lesões em ambientes que possuem uma grande circulação de pessoas, como é o caso dos edifícios mencionados.</w:t>
      </w:r>
    </w:p>
    <w:p w:rsidR="00000000" w:rsidDel="00000000" w:rsidP="00000000" w:rsidRDefault="00000000" w:rsidRPr="00000000" w14:paraId="0000000E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3.</w:t>
        <w:tab/>
        <w:t xml:space="preserve">ÁREA REQUISITANTE: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Coordenadoria</w:t>
      </w:r>
      <w:r w:rsidDel="00000000" w:rsidR="00000000" w:rsidRPr="00000000">
        <w:rPr>
          <w:rFonts w:ascii="Calibri" w:cs="Calibri" w:eastAsia="Calibri" w:hAnsi="Calibri"/>
          <w:b w:val="0"/>
          <w:color w:val="000000"/>
          <w:sz w:val="22"/>
          <w:szCs w:val="22"/>
          <w:rtl w:val="0"/>
        </w:rPr>
        <w:t xml:space="preserve"> de Manutenção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4.</w:t>
        <w:tab/>
        <w:t xml:space="preserve">DESCRIÇÃO DOS REQUISITOS DA CONTRATAÇÃO: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Trata-se de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manutenção geral e avaliação completa para reativação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do sistema de alarme com teste do sistema, teste da central, conferência das sinalizações de acordo com a instalação existente, elaboração de laudo técnico para cada prédio e instalação de peças e equipamentos necessários para o bom funcionamento dos sistemas abaixo: </w:t>
      </w:r>
    </w:p>
    <w:p w:rsidR="00000000" w:rsidDel="00000000" w:rsidP="00000000" w:rsidRDefault="00000000" w:rsidRPr="00000000" w14:paraId="00000013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line="276" w:lineRule="auto"/>
        <w:ind w:left="1440" w:hanging="36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Prédio Dom Helder Câmara :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28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Central de Alarme e Detecção Modelo Ascael 24/512 digital endereçável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28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Sensores de Fumaça: 184 Unidades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28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Sensores Termo velocímetro: 9 Unidades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76" w:lineRule="auto"/>
        <w:ind w:left="28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Sensores Térmicos: 44 unidades</w:t>
      </w:r>
    </w:p>
    <w:p w:rsidR="00000000" w:rsidDel="00000000" w:rsidP="00000000" w:rsidRDefault="00000000" w:rsidRPr="00000000" w14:paraId="00000019">
      <w:pPr>
        <w:spacing w:line="276" w:lineRule="auto"/>
        <w:ind w:left="288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line="276" w:lineRule="auto"/>
        <w:ind w:left="1440" w:hanging="36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Predio Manoel Arízio: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28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Central de Alarme e Detecção Modelo Cooper CF3000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76" w:lineRule="auto"/>
        <w:ind w:left="288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Sensores de Fumaça: 432 Unidades</w:t>
      </w:r>
    </w:p>
    <w:p w:rsidR="00000000" w:rsidDel="00000000" w:rsidP="00000000" w:rsidRDefault="00000000" w:rsidRPr="00000000" w14:paraId="0000001D">
      <w:pPr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4.1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Trata-se de execução de serviço comum, cujos padrões de desempenho e qualidade podem ser objetivamente definidos no edital por meio de especificações usuais no mercado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5.</w:t>
        <w:tab/>
        <w:t xml:space="preserve">LEVANTAMENTO DE MERCADO: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 Considerando a especialidade deste tipo de serviço, qual seja: Manutenção em Sistemas de alarme e detecção de incêndio, assim como a inexistência de profissionais habilitados neste TRT7, foi escolhida a contratação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de empresa especializada para manutenção com eventual fornecimento de peças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necessárias ao funcionamento do sistema de alarme de incêndio do Ed. Dom Helder Câmara e Ed. Manoel Arízio de Castro do Fórum Autran Nunes,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pois é a única opção que pode atender a demanda de forma satisfatória.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Considerando o elevado investimento para a instalação de um novo sistema, inclusive com a contratação de novo projeto básico, a solução de substituição completa do sistema existente não se mostra adequada, em um primeiro momento, tendo em vista que deve ser primeiramente avaliado se o sistema existente é técnica e economicamente passível de recuperação.</w:t>
      </w:r>
    </w:p>
    <w:p w:rsidR="00000000" w:rsidDel="00000000" w:rsidP="00000000" w:rsidRDefault="00000000" w:rsidRPr="00000000" w14:paraId="00000021">
      <w:pPr>
        <w:spacing w:after="240" w:before="240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 mesma forma, a solução de contrato de Manutenção continuado não seria adequada inicialmente, tendo em vista que existe a possibilidade de o sistema não ser reparado e continuar inoperante. </w:t>
      </w:r>
    </w:p>
    <w:p w:rsidR="00000000" w:rsidDel="00000000" w:rsidP="00000000" w:rsidRDefault="00000000" w:rsidRPr="00000000" w14:paraId="00000022">
      <w:pPr>
        <w:spacing w:after="240" w:before="240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Desta forma, a solução proposta para esta contratação se mostra mais adequada, uma vez que existe a possibilidade de reativar o funcionamento do sistema com baixo investimento e caso  sua recuperação não seja inviável, seria pago apenas a parcela referente à avaliação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Testes e Configuração DO SISTEMA E CENTRAL DE DETECÇÃO E ALARME DE INCÊNDIO com emissão de Laudo Técnico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  </w:t>
      </w:r>
    </w:p>
    <w:p w:rsidR="00000000" w:rsidDel="00000000" w:rsidP="00000000" w:rsidRDefault="00000000" w:rsidRPr="00000000" w14:paraId="00000023">
      <w:pPr>
        <w:spacing w:after="240" w:before="240" w:lineRule="auto"/>
        <w:ind w:left="720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6.</w:t>
        <w:tab/>
        <w:t xml:space="preserve">DESCRIÇÃO DA SOLUÇÃO COMO UM TODO, CONSIDERADO TODO O CICLO DE VIDA DO OBJETO: </w:t>
      </w:r>
    </w:p>
    <w:p w:rsidR="00000000" w:rsidDel="00000000" w:rsidP="00000000" w:rsidRDefault="00000000" w:rsidRPr="00000000" w14:paraId="00000024">
      <w:pPr>
        <w:spacing w:after="200" w:line="276" w:lineRule="auto"/>
        <w:ind w:left="708.6614173228347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Serviço único de manutenção preventiva e corretiva para reativação dos sistemas de alarme e Detecção de Incêndio dos dois prédios do Fórum Autran Nunes (Ed. Dom Helder Câmara e Ed. Manoel Arízio de Castro), contemplando teste geral do sistema, identificação de todos os sensores e dispositivos, elaboração de laudo técnico e eventual reposição de componentes danificados, conforme especificações e quantidades estabelecidas neste Termo de Referência.</w:t>
      </w:r>
    </w:p>
    <w:p w:rsidR="00000000" w:rsidDel="00000000" w:rsidP="00000000" w:rsidRDefault="00000000" w:rsidRPr="00000000" w14:paraId="00000025">
      <w:pPr>
        <w:spacing w:after="200" w:line="276" w:lineRule="auto"/>
        <w:ind w:left="708.6614173228347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Como resultado desta contratação em caso de reativação completa dos dois sistemas será realizada uma nova contratação para serviço de Manutenção continuada dos sistemas em funcionamento.</w:t>
      </w:r>
    </w:p>
    <w:p w:rsidR="00000000" w:rsidDel="00000000" w:rsidP="00000000" w:rsidRDefault="00000000" w:rsidRPr="00000000" w14:paraId="00000026">
      <w:pPr>
        <w:spacing w:after="200" w:line="276" w:lineRule="auto"/>
        <w:ind w:left="708.6614173228347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Em caso da impossibilidade de reativação dos sistemas seja por obsolescência ou outros fatores técnicos serão realizados novos estudos para substituição dos sistemas inoperantes.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7.</w:t>
        <w:tab/>
        <w:t xml:space="preserve">ESTIMATIVA DAS QUANTIDADES A SEREM CONTRATADAS: </w:t>
      </w:r>
    </w:p>
    <w:p w:rsidR="00000000" w:rsidDel="00000000" w:rsidP="00000000" w:rsidRDefault="00000000" w:rsidRPr="00000000" w14:paraId="00000029">
      <w:pPr>
        <w:widowControl w:val="1"/>
        <w:ind w:left="735" w:right="0" w:hanging="240"/>
        <w:jc w:val="both"/>
        <w:rPr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color w:val="000000"/>
          <w:sz w:val="22"/>
          <w:szCs w:val="22"/>
          <w:rtl w:val="0"/>
        </w:rPr>
        <w:t xml:space="preserve">Os quantitativos e o tipo de sistema encontram-se no Anexo I – Planilha de Quantitativo e de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Custo, que</w:t>
      </w:r>
      <w:r w:rsidDel="00000000" w:rsidR="00000000" w:rsidRPr="00000000">
        <w:rPr>
          <w:rFonts w:ascii="Calibri" w:cs="Calibri" w:eastAsia="Calibri" w:hAnsi="Calibri"/>
          <w:b w:val="0"/>
          <w:color w:val="000000"/>
          <w:sz w:val="22"/>
          <w:szCs w:val="22"/>
          <w:rtl w:val="0"/>
        </w:rPr>
        <w:t xml:space="preserve">  foram estabelecidos com base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nos projetos do edifício e através de verificaçã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 in loco nos prédios.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8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ESTIMATIVA DO VALOR DA CONTRATAÇÃO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 valor estimado da contratação é de R$99.116,56 (noventa e nove mil, cento e dezesseis reais e cinquenta e seis centavos, sendo R$ 19.600,00 referente aos serviços de 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valiação, testes e configuração com emissão de laudo técnico e R$ 79.516,56 referente ao eventual fornecimento de peças de reposição.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72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9. </w:t>
        <w:tab/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J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USTIFICATIVA PARA O PARCELAMENTO OU NÃO DA SOLUÇÃO: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Não se aplica. Tendo em vista tratar-se do mesmo objeto de prestação de serviços para prédios do mesmo complexo (Fórum Autran Nunes).</w:t>
      </w:r>
    </w:p>
    <w:p w:rsidR="00000000" w:rsidDel="00000000" w:rsidP="00000000" w:rsidRDefault="00000000" w:rsidRPr="00000000" w14:paraId="0000002E">
      <w:pPr>
        <w:ind w:left="720" w:firstLine="0"/>
        <w:jc w:val="both"/>
        <w:rPr>
          <w:rFonts w:ascii="Calibri" w:cs="Calibri" w:eastAsia="Calibri" w:hAnsi="Calibri"/>
          <w:color w:val="00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.</w:t>
        <w:tab/>
        <w:t xml:space="preserve">CONTRATAÇÕES CORRELATAS E/OU INTERDEPENDENTES: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Não se aplica.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0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20" w:firstLine="0"/>
        <w:jc w:val="both"/>
        <w:rPr>
          <w:rFonts w:ascii="Calibri" w:cs="Calibri" w:eastAsia="Calibri" w:hAnsi="Calibri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.</w:t>
        <w:tab/>
        <w:t xml:space="preserve">ALINHAMENTO ENTRE A CONTRATAÇÃO E O PLANEJAMENTO: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Esta Aquisição/Contratação está alinhada com o disposto no Plano Estratégico 2021-2026 deste Regional, aprovado pelo Ato TRT7 nº. 64/2021, observando, especialmente, o previsto no Objetivo Estratégico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nº 02: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Promover o trabalho decente e a sustentabilidade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 : Promover ambientes de trabalho seguros e protegidos, a dignificação do trabalhador, a não discriminação de gênero, raça e diversidade, o combate ao trabalho infantil, bem como a gestão e o uso sustentável, eficiente e eficaz dos recursos sociais, ambientais e econômicos, visando o alcance dos Objetivos de Desenvolvimento Sustentável – ODS da Organização das Nações Unidas – Agenda 2030</w:t>
      </w:r>
    </w:p>
    <w:p w:rsidR="00000000" w:rsidDel="00000000" w:rsidP="00000000" w:rsidRDefault="00000000" w:rsidRPr="00000000" w14:paraId="00000032">
      <w:pPr>
        <w:ind w:left="720" w:firstLine="0"/>
        <w:jc w:val="both"/>
        <w:rPr>
          <w:rFonts w:ascii="Calibri" w:cs="Calibri" w:eastAsia="Calibri" w:hAnsi="Calibri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A presente Aquisição/Contratação encontra-se prevista no Plano Anual de Contratações - PAC deste Regional.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720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720" w:firstLine="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.</w:t>
        <w:tab/>
        <w:t xml:space="preserve">BENEFÍCIOS A SEREM ALCANÇADOS COM A CONTRATAÇÃO: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Atender os objetivos do art. 3º da RESOLUÇÃO CSJT N.º 365 DE 29 DE SETEMBRO DE 2023,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que estabelece a Política de Manutenção Predial da Justiça do Trabalho de primeiro e segundo graus e dá outras providências.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72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.</w:t>
        <w:tab/>
        <w:t xml:space="preserve">PROVIDÊNCIAS A SEREM ADOTADAS: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Garantir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 visitação aos prédios para reconhecimento do sistema de alarme existente.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720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.</w:t>
        <w:tab/>
        <w:t xml:space="preserve">POSSÍVEIS IMPACTOS AMBIENTAIS: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Não se aplica.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144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2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.</w:t>
        <w:tab/>
        <w:t xml:space="preserve">DECLARAÇÃO DE VIABILIDADE: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Por todo o exposto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neste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ETP, pelo conhecimento do mercado, pelas pesquisas realizadas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em mercado e em planilhas oficiais,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declaramos que a contratação é viável. </w:t>
      </w:r>
    </w:p>
    <w:p w:rsidR="00000000" w:rsidDel="00000000" w:rsidP="00000000" w:rsidRDefault="00000000" w:rsidRPr="00000000" w14:paraId="0000003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1">
      <w:p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Fortaleza,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20 de agosto  de 2024.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0"/>
        </w:tabs>
        <w:ind w:right="284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Filipe de Oliveira Nepomuceno</w:t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Técnico Judiciário - Área Administrativa</w:t>
      </w:r>
    </w:p>
    <w:p w:rsidR="00000000" w:rsidDel="00000000" w:rsidP="00000000" w:rsidRDefault="00000000" w:rsidRPr="00000000" w14:paraId="0000004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0"/>
        </w:tabs>
        <w:spacing w:after="240" w:lineRule="auto"/>
        <w:ind w:right="28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André Luiz Firmino Gonzaga</w:t>
      </w:r>
    </w:p>
    <w:p w:rsidR="00000000" w:rsidDel="00000000" w:rsidP="00000000" w:rsidRDefault="00000000" w:rsidRPr="00000000" w14:paraId="00000047">
      <w:pPr>
        <w:tabs>
          <w:tab w:val="left" w:leader="none" w:pos="0"/>
        </w:tabs>
        <w:ind w:right="284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Diretor da Divisão de Manutenção</w:t>
      </w:r>
    </w:p>
    <w:p w:rsidR="00000000" w:rsidDel="00000000" w:rsidP="00000000" w:rsidRDefault="00000000" w:rsidRPr="00000000" w14:paraId="0000004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CG Time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11160"/>
      </w:tabs>
      <w:ind w:left="0" w:right="49" w:firstLine="2552"/>
      <w:jc w:val="both"/>
    </w:pPr>
    <w:rPr>
      <w:rFonts w:ascii="CG Times" w:cs="CG Times" w:eastAsia="CG Times" w:hAnsi="CG Times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576" w:hanging="576"/>
      <w:jc w:val="center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ind w:left="0" w:right="0" w:firstLine="3119"/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ind w:left="0" w:right="-136" w:firstLine="0"/>
      <w:jc w:val="center"/>
    </w:pPr>
    <w:rPr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GTimes-regular.ttf"/><Relationship Id="rId2" Type="http://schemas.openxmlformats.org/officeDocument/2006/relationships/font" Target="fonts/CGTimes-bold.ttf"/><Relationship Id="rId3" Type="http://schemas.openxmlformats.org/officeDocument/2006/relationships/font" Target="fonts/CGTimes-italic.ttf"/><Relationship Id="rId4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