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E29" w:rsidRDefault="005726C7">
      <w:pPr>
        <w:keepNext/>
        <w:widowControl/>
        <w:pBdr>
          <w:top w:val="nil"/>
          <w:left w:val="nil"/>
          <w:bottom w:val="nil"/>
          <w:right w:val="nil"/>
          <w:between w:val="nil"/>
        </w:pBdr>
        <w:tabs>
          <w:tab w:val="left" w:pos="0"/>
        </w:tabs>
        <w:spacing w:line="360" w:lineRule="auto"/>
        <w:ind w:right="284"/>
        <w:jc w:val="center"/>
        <w:rPr>
          <w:rFonts w:ascii="Verdana" w:eastAsia="Verdana" w:hAnsi="Verdana" w:cs="Verdana"/>
          <w:b/>
          <w:sz w:val="20"/>
          <w:szCs w:val="20"/>
        </w:rPr>
      </w:pPr>
      <w:bookmarkStart w:id="0" w:name="_GoBack"/>
      <w:bookmarkEnd w:id="0"/>
      <w:r>
        <w:rPr>
          <w:rFonts w:ascii="Verdana" w:eastAsia="Verdana" w:hAnsi="Verdana" w:cs="Verdana"/>
          <w:b/>
          <w:sz w:val="20"/>
          <w:szCs w:val="20"/>
        </w:rPr>
        <w:t>PODER JUDICIÁRIO FEDERAL</w:t>
      </w:r>
    </w:p>
    <w:p w:rsidR="00112E29" w:rsidRDefault="005726C7">
      <w:pPr>
        <w:keepNext/>
        <w:widowControl/>
        <w:pBdr>
          <w:top w:val="nil"/>
          <w:left w:val="nil"/>
          <w:bottom w:val="nil"/>
          <w:right w:val="nil"/>
          <w:between w:val="nil"/>
        </w:pBdr>
        <w:tabs>
          <w:tab w:val="left" w:pos="0"/>
        </w:tabs>
        <w:spacing w:line="360" w:lineRule="auto"/>
        <w:ind w:right="284"/>
        <w:jc w:val="center"/>
        <w:rPr>
          <w:rFonts w:ascii="Verdana" w:eastAsia="Verdana" w:hAnsi="Verdana" w:cs="Verdana"/>
          <w:b/>
          <w:sz w:val="20"/>
          <w:szCs w:val="20"/>
        </w:rPr>
      </w:pPr>
      <w:r>
        <w:rPr>
          <w:rFonts w:ascii="Verdana" w:eastAsia="Verdana" w:hAnsi="Verdana" w:cs="Verdana"/>
          <w:b/>
          <w:sz w:val="20"/>
          <w:szCs w:val="20"/>
        </w:rPr>
        <w:t xml:space="preserve"> TRIBUNAL REGIONAL DO TRABALHO DA 7ª REGIÃO</w:t>
      </w:r>
    </w:p>
    <w:p w:rsidR="00112E29" w:rsidRDefault="005726C7">
      <w:pPr>
        <w:widowControl/>
        <w:pBdr>
          <w:top w:val="nil"/>
          <w:left w:val="nil"/>
          <w:bottom w:val="nil"/>
          <w:right w:val="nil"/>
          <w:between w:val="nil"/>
        </w:pBdr>
        <w:tabs>
          <w:tab w:val="left" w:pos="0"/>
        </w:tabs>
        <w:spacing w:line="360" w:lineRule="auto"/>
        <w:ind w:right="284"/>
        <w:jc w:val="center"/>
        <w:rPr>
          <w:rFonts w:ascii="Verdana" w:eastAsia="Verdana" w:hAnsi="Verdana" w:cs="Verdana"/>
          <w:b/>
          <w:sz w:val="20"/>
          <w:szCs w:val="20"/>
        </w:rPr>
      </w:pPr>
      <w:r>
        <w:rPr>
          <w:rFonts w:ascii="Verdana" w:eastAsia="Verdana" w:hAnsi="Verdana" w:cs="Verdana"/>
          <w:b/>
          <w:sz w:val="20"/>
          <w:szCs w:val="20"/>
        </w:rPr>
        <w:t>TERMO DE REFERÊNCIA - COMPRA</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PROAD nº 2595/2024</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1. UNIDADE REQUISITANTE:</w:t>
      </w:r>
      <w:r>
        <w:rPr>
          <w:rFonts w:ascii="Verdana" w:eastAsia="Verdana" w:hAnsi="Verdana" w:cs="Verdana"/>
          <w:sz w:val="20"/>
          <w:szCs w:val="20"/>
        </w:rPr>
        <w:t xml:space="preserve"> COORDENADORIA DE INFORMAÇÕES FUNCIONAIS.</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2. OBJETO: </w:t>
      </w:r>
      <w:r>
        <w:rPr>
          <w:rFonts w:ascii="Verdana" w:eastAsia="Verdana" w:hAnsi="Verdana" w:cs="Verdana"/>
          <w:sz w:val="20"/>
          <w:szCs w:val="20"/>
        </w:rPr>
        <w:t>Contratação de empresa para fornecimento parcelado de crachás e acessórios para servidores, prestadores de serviço, estagiários e visitantes do Tribunal Regional do Trabalho da 7ª Região, nos termos e condições estabelecidas neste instrumento e de acordo com os quantitativos anuais máximos informados no quadro abaixo:</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tbl>
      <w:tblPr>
        <w:tblStyle w:val="afd"/>
        <w:tblW w:w="8775" w:type="dxa"/>
        <w:tblBorders>
          <w:top w:val="nil"/>
          <w:left w:val="nil"/>
          <w:bottom w:val="nil"/>
          <w:right w:val="nil"/>
          <w:insideH w:val="nil"/>
          <w:insideV w:val="nil"/>
        </w:tblBorders>
        <w:tblLayout w:type="fixed"/>
        <w:tblLook w:val="0600"/>
      </w:tblPr>
      <w:tblGrid>
        <w:gridCol w:w="7185"/>
        <w:gridCol w:w="540"/>
        <w:gridCol w:w="1050"/>
      </w:tblGrid>
      <w:tr w:rsidR="00112E29">
        <w:trPr>
          <w:trHeight w:val="315"/>
        </w:trPr>
        <w:tc>
          <w:tcPr>
            <w:tcW w:w="7185" w:type="dxa"/>
            <w:tcBorders>
              <w:top w:val="single" w:sz="4" w:space="0" w:color="000000"/>
              <w:left w:val="single" w:sz="4" w:space="0" w:color="000000"/>
              <w:bottom w:val="single" w:sz="4" w:space="0" w:color="000000"/>
              <w:right w:val="single" w:sz="4" w:space="0" w:color="000000"/>
            </w:tcBorders>
            <w:shd w:val="clear" w:color="auto" w:fill="C9DAF8"/>
            <w:tcMar>
              <w:top w:w="40" w:type="dxa"/>
              <w:left w:w="40" w:type="dxa"/>
              <w:bottom w:w="40" w:type="dxa"/>
              <w:right w:w="40" w:type="dxa"/>
            </w:tcMar>
            <w:vAlign w:val="center"/>
          </w:tcPr>
          <w:p w:rsidR="00112E29" w:rsidRDefault="005726C7">
            <w:pPr>
              <w:spacing w:line="276" w:lineRule="auto"/>
              <w:jc w:val="center"/>
              <w:rPr>
                <w:rFonts w:ascii="Arial" w:eastAsia="Arial" w:hAnsi="Arial" w:cs="Arial"/>
              </w:rPr>
            </w:pPr>
            <w:r>
              <w:rPr>
                <w:rFonts w:ascii="Verdana" w:eastAsia="Verdana" w:hAnsi="Verdana" w:cs="Verdana"/>
                <w:b/>
                <w:sz w:val="18"/>
                <w:szCs w:val="18"/>
              </w:rPr>
              <w:t>ESPECIFICAÇÕES</w:t>
            </w:r>
          </w:p>
        </w:tc>
        <w:tc>
          <w:tcPr>
            <w:tcW w:w="540" w:type="dxa"/>
            <w:tcBorders>
              <w:top w:val="single" w:sz="4" w:space="0" w:color="000000"/>
              <w:left w:val="single" w:sz="4" w:space="0" w:color="CCCCCC"/>
              <w:bottom w:val="single" w:sz="4" w:space="0" w:color="000000"/>
              <w:right w:val="single" w:sz="4" w:space="0" w:color="000000"/>
            </w:tcBorders>
            <w:shd w:val="clear" w:color="auto" w:fill="C9DAF8"/>
            <w:tcMar>
              <w:top w:w="40" w:type="dxa"/>
              <w:left w:w="40" w:type="dxa"/>
              <w:bottom w:w="40" w:type="dxa"/>
              <w:right w:w="40" w:type="dxa"/>
            </w:tcMar>
            <w:vAlign w:val="center"/>
          </w:tcPr>
          <w:p w:rsidR="00112E29" w:rsidRDefault="005726C7">
            <w:pPr>
              <w:spacing w:line="276" w:lineRule="auto"/>
              <w:jc w:val="center"/>
              <w:rPr>
                <w:rFonts w:ascii="Arial" w:eastAsia="Arial" w:hAnsi="Arial" w:cs="Arial"/>
              </w:rPr>
            </w:pPr>
            <w:r>
              <w:rPr>
                <w:rFonts w:ascii="Verdana" w:eastAsia="Verdana" w:hAnsi="Verdana" w:cs="Verdana"/>
                <w:b/>
                <w:sz w:val="18"/>
                <w:szCs w:val="18"/>
              </w:rPr>
              <w:t>UND</w:t>
            </w:r>
          </w:p>
        </w:tc>
        <w:tc>
          <w:tcPr>
            <w:tcW w:w="1050" w:type="dxa"/>
            <w:tcBorders>
              <w:top w:val="single" w:sz="4" w:space="0" w:color="000000"/>
              <w:left w:val="single" w:sz="4" w:space="0" w:color="CCCCCC"/>
              <w:bottom w:val="single" w:sz="4" w:space="0" w:color="000000"/>
              <w:right w:val="single" w:sz="4" w:space="0" w:color="000000"/>
            </w:tcBorders>
            <w:shd w:val="clear" w:color="auto" w:fill="C9DAF8"/>
            <w:tcMar>
              <w:top w:w="40" w:type="dxa"/>
              <w:left w:w="40" w:type="dxa"/>
              <w:bottom w:w="40" w:type="dxa"/>
              <w:right w:w="40" w:type="dxa"/>
            </w:tcMar>
            <w:vAlign w:val="center"/>
          </w:tcPr>
          <w:p w:rsidR="00112E29" w:rsidRDefault="005726C7">
            <w:pPr>
              <w:spacing w:line="276" w:lineRule="auto"/>
              <w:jc w:val="center"/>
              <w:rPr>
                <w:rFonts w:ascii="Arial" w:eastAsia="Arial" w:hAnsi="Arial" w:cs="Arial"/>
              </w:rPr>
            </w:pPr>
            <w:r>
              <w:rPr>
                <w:rFonts w:ascii="Verdana" w:eastAsia="Verdana" w:hAnsi="Verdana" w:cs="Verdana"/>
                <w:b/>
                <w:sz w:val="18"/>
                <w:szCs w:val="18"/>
              </w:rPr>
              <w:t>QUANT.</w:t>
            </w:r>
          </w:p>
        </w:tc>
      </w:tr>
      <w:tr w:rsidR="00112E29">
        <w:trPr>
          <w:trHeight w:val="1830"/>
        </w:trPr>
        <w:tc>
          <w:tcPr>
            <w:tcW w:w="718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center"/>
          </w:tcPr>
          <w:p w:rsidR="00112E29" w:rsidRDefault="005726C7">
            <w:pPr>
              <w:numPr>
                <w:ilvl w:val="0"/>
                <w:numId w:val="1"/>
              </w:numPr>
              <w:spacing w:line="276" w:lineRule="auto"/>
              <w:rPr>
                <w:rFonts w:ascii="Verdana" w:eastAsia="Verdana" w:hAnsi="Verdana" w:cs="Verdana"/>
                <w:sz w:val="18"/>
                <w:szCs w:val="18"/>
              </w:rPr>
            </w:pPr>
            <w:r>
              <w:rPr>
                <w:rFonts w:ascii="Verdana" w:eastAsia="Verdana" w:hAnsi="Verdana" w:cs="Verdana"/>
                <w:sz w:val="18"/>
                <w:szCs w:val="18"/>
              </w:rPr>
              <w:t>Crachá em tamanho padrão conforme imagem e informações cadastrais fornecidas pelo Tribunal em arquivo no formato .</w:t>
            </w:r>
            <w:proofErr w:type="spellStart"/>
            <w:r>
              <w:rPr>
                <w:rFonts w:ascii="Verdana" w:eastAsia="Verdana" w:hAnsi="Verdana" w:cs="Verdana"/>
                <w:sz w:val="18"/>
                <w:szCs w:val="18"/>
              </w:rPr>
              <w:t>pdf</w:t>
            </w:r>
            <w:proofErr w:type="spellEnd"/>
            <w:r>
              <w:rPr>
                <w:rFonts w:ascii="Verdana" w:eastAsia="Verdana" w:hAnsi="Verdana" w:cs="Verdana"/>
                <w:sz w:val="18"/>
                <w:szCs w:val="18"/>
              </w:rPr>
              <w:t>; Cartão confeccionado em PVC laminado de dimensões 0,76 x 54 x 86mm; impressão digital colorida em HD 4x4; fotografias digitais coloridas; personalização de dados e fotos impressos na superfície do PVC; cartão 100% laminado após impressão dos dados; Protetor para crachá rígido transparente, encaixe 54 x 86mm.</w:t>
            </w:r>
          </w:p>
        </w:tc>
        <w:tc>
          <w:tcPr>
            <w:tcW w:w="54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center"/>
          </w:tcPr>
          <w:p w:rsidR="00112E29" w:rsidRDefault="005726C7">
            <w:pPr>
              <w:spacing w:line="276" w:lineRule="auto"/>
              <w:rPr>
                <w:rFonts w:ascii="Arial" w:eastAsia="Arial" w:hAnsi="Arial" w:cs="Arial"/>
              </w:rPr>
            </w:pPr>
            <w:r>
              <w:rPr>
                <w:rFonts w:ascii="Verdana" w:eastAsia="Verdana" w:hAnsi="Verdana" w:cs="Verdana"/>
                <w:sz w:val="18"/>
                <w:szCs w:val="18"/>
              </w:rPr>
              <w:t>UM</w:t>
            </w:r>
          </w:p>
        </w:tc>
        <w:tc>
          <w:tcPr>
            <w:tcW w:w="105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center"/>
          </w:tcPr>
          <w:p w:rsidR="00112E29" w:rsidRDefault="005726C7">
            <w:pPr>
              <w:spacing w:line="276" w:lineRule="auto"/>
              <w:jc w:val="center"/>
              <w:rPr>
                <w:rFonts w:ascii="Arial" w:eastAsia="Arial" w:hAnsi="Arial" w:cs="Arial"/>
              </w:rPr>
            </w:pPr>
            <w:r>
              <w:rPr>
                <w:rFonts w:ascii="Verdana" w:eastAsia="Verdana" w:hAnsi="Verdana" w:cs="Verdana"/>
                <w:sz w:val="18"/>
                <w:szCs w:val="18"/>
              </w:rPr>
              <w:t>600</w:t>
            </w:r>
          </w:p>
        </w:tc>
      </w:tr>
      <w:tr w:rsidR="00112E29">
        <w:trPr>
          <w:trHeight w:val="1170"/>
        </w:trPr>
        <w:tc>
          <w:tcPr>
            <w:tcW w:w="718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center"/>
          </w:tcPr>
          <w:p w:rsidR="00112E29" w:rsidRDefault="005726C7">
            <w:pPr>
              <w:numPr>
                <w:ilvl w:val="0"/>
                <w:numId w:val="1"/>
              </w:numPr>
              <w:spacing w:line="276" w:lineRule="auto"/>
              <w:rPr>
                <w:rFonts w:ascii="Verdana" w:eastAsia="Verdana" w:hAnsi="Verdana" w:cs="Verdana"/>
                <w:sz w:val="18"/>
                <w:szCs w:val="18"/>
              </w:rPr>
            </w:pPr>
            <w:r>
              <w:rPr>
                <w:rFonts w:ascii="Verdana" w:eastAsia="Verdana" w:hAnsi="Verdana" w:cs="Verdana"/>
                <w:sz w:val="18"/>
                <w:szCs w:val="18"/>
              </w:rPr>
              <w:t>Cordão em tecido 100% em poliéster preto personalizado com impressão digital branca, textura macia, largura de 15mm e comprimento de 85 cm (as medidas podem variar até 5% para mais ou para menos), contendo argola, chapa metálica e/ou jacaré.</w:t>
            </w:r>
          </w:p>
        </w:tc>
        <w:tc>
          <w:tcPr>
            <w:tcW w:w="54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center"/>
          </w:tcPr>
          <w:p w:rsidR="00112E29" w:rsidRDefault="005726C7">
            <w:pPr>
              <w:spacing w:line="276" w:lineRule="auto"/>
              <w:rPr>
                <w:rFonts w:ascii="Arial" w:eastAsia="Arial" w:hAnsi="Arial" w:cs="Arial"/>
              </w:rPr>
            </w:pPr>
            <w:r>
              <w:rPr>
                <w:rFonts w:ascii="Verdana" w:eastAsia="Verdana" w:hAnsi="Verdana" w:cs="Verdana"/>
                <w:sz w:val="18"/>
                <w:szCs w:val="18"/>
              </w:rPr>
              <w:t>UM</w:t>
            </w:r>
          </w:p>
        </w:tc>
        <w:tc>
          <w:tcPr>
            <w:tcW w:w="105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center"/>
          </w:tcPr>
          <w:p w:rsidR="00112E29" w:rsidRDefault="005726C7">
            <w:pPr>
              <w:spacing w:line="276" w:lineRule="auto"/>
              <w:jc w:val="center"/>
              <w:rPr>
                <w:rFonts w:ascii="Arial" w:eastAsia="Arial" w:hAnsi="Arial" w:cs="Arial"/>
              </w:rPr>
            </w:pPr>
            <w:r>
              <w:rPr>
                <w:rFonts w:ascii="Verdana" w:eastAsia="Verdana" w:hAnsi="Verdana" w:cs="Verdana"/>
                <w:sz w:val="18"/>
                <w:szCs w:val="18"/>
              </w:rPr>
              <w:t>600</w:t>
            </w:r>
          </w:p>
        </w:tc>
      </w:tr>
      <w:tr w:rsidR="00112E29">
        <w:trPr>
          <w:trHeight w:val="510"/>
        </w:trPr>
        <w:tc>
          <w:tcPr>
            <w:tcW w:w="718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center"/>
          </w:tcPr>
          <w:p w:rsidR="00112E29" w:rsidRDefault="005726C7">
            <w:pPr>
              <w:numPr>
                <w:ilvl w:val="0"/>
                <w:numId w:val="1"/>
              </w:numPr>
              <w:spacing w:line="276" w:lineRule="auto"/>
              <w:rPr>
                <w:rFonts w:ascii="Verdana" w:eastAsia="Verdana" w:hAnsi="Verdana" w:cs="Verdana"/>
                <w:sz w:val="18"/>
                <w:szCs w:val="18"/>
              </w:rPr>
            </w:pPr>
            <w:r>
              <w:rPr>
                <w:rFonts w:ascii="Verdana" w:eastAsia="Verdana" w:hAnsi="Verdana" w:cs="Verdana"/>
                <w:sz w:val="18"/>
                <w:szCs w:val="18"/>
              </w:rPr>
              <w:t>Suporte retrátil de crachá, cor preta, com o brasão da República Federativa do Brasil impresso e resinado; presilha em clip leitoso.</w:t>
            </w:r>
          </w:p>
        </w:tc>
        <w:tc>
          <w:tcPr>
            <w:tcW w:w="54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center"/>
          </w:tcPr>
          <w:p w:rsidR="00112E29" w:rsidRDefault="005726C7">
            <w:pPr>
              <w:spacing w:line="276" w:lineRule="auto"/>
              <w:rPr>
                <w:rFonts w:ascii="Arial" w:eastAsia="Arial" w:hAnsi="Arial" w:cs="Arial"/>
              </w:rPr>
            </w:pPr>
            <w:r>
              <w:rPr>
                <w:rFonts w:ascii="Verdana" w:eastAsia="Verdana" w:hAnsi="Verdana" w:cs="Verdana"/>
                <w:sz w:val="18"/>
                <w:szCs w:val="18"/>
              </w:rPr>
              <w:t>UM</w:t>
            </w:r>
          </w:p>
        </w:tc>
        <w:tc>
          <w:tcPr>
            <w:tcW w:w="105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center"/>
          </w:tcPr>
          <w:p w:rsidR="00112E29" w:rsidRDefault="005726C7">
            <w:pPr>
              <w:spacing w:line="276" w:lineRule="auto"/>
              <w:jc w:val="center"/>
              <w:rPr>
                <w:rFonts w:ascii="Arial" w:eastAsia="Arial" w:hAnsi="Arial" w:cs="Arial"/>
              </w:rPr>
            </w:pPr>
            <w:r>
              <w:rPr>
                <w:rFonts w:ascii="Verdana" w:eastAsia="Verdana" w:hAnsi="Verdana" w:cs="Verdana"/>
                <w:sz w:val="18"/>
                <w:szCs w:val="18"/>
              </w:rPr>
              <w:t>600</w:t>
            </w:r>
          </w:p>
        </w:tc>
      </w:tr>
    </w:tbl>
    <w:p w:rsidR="00112E29" w:rsidRDefault="005726C7">
      <w:pPr>
        <w:pBdr>
          <w:top w:val="nil"/>
          <w:left w:val="nil"/>
          <w:bottom w:val="nil"/>
          <w:right w:val="nil"/>
          <w:between w:val="nil"/>
        </w:pBdr>
        <w:tabs>
          <w:tab w:val="left" w:pos="0"/>
        </w:tabs>
        <w:ind w:right="284"/>
        <w:jc w:val="both"/>
        <w:rPr>
          <w:rFonts w:ascii="Verdana" w:eastAsia="Verdana" w:hAnsi="Verdana" w:cs="Verdana"/>
          <w:sz w:val="20"/>
          <w:szCs w:val="20"/>
        </w:rPr>
      </w:pPr>
      <w:r>
        <w:rPr>
          <w:rFonts w:ascii="Verdana" w:eastAsia="Verdana" w:hAnsi="Verdana" w:cs="Verdana"/>
          <w:b/>
          <w:sz w:val="20"/>
          <w:szCs w:val="20"/>
        </w:rPr>
        <w:t xml:space="preserve">OBSERVAÇÃO: </w:t>
      </w:r>
      <w:r>
        <w:rPr>
          <w:rFonts w:ascii="Verdana" w:eastAsia="Verdana" w:hAnsi="Verdana" w:cs="Verdana"/>
          <w:sz w:val="20"/>
          <w:szCs w:val="20"/>
        </w:rPr>
        <w:t xml:space="preserve">no primeiro ano da contratação os quantitativos máximos dos itens 2. </w:t>
      </w:r>
      <w:proofErr w:type="gramStart"/>
      <w:r>
        <w:rPr>
          <w:rFonts w:ascii="Verdana" w:eastAsia="Verdana" w:hAnsi="Verdana" w:cs="Verdana"/>
          <w:sz w:val="20"/>
          <w:szCs w:val="20"/>
        </w:rPr>
        <w:t>e</w:t>
      </w:r>
      <w:proofErr w:type="gramEnd"/>
      <w:r>
        <w:rPr>
          <w:rFonts w:ascii="Verdana" w:eastAsia="Verdana" w:hAnsi="Verdana" w:cs="Verdana"/>
          <w:sz w:val="20"/>
          <w:szCs w:val="20"/>
        </w:rPr>
        <w:t xml:space="preserve"> 3. </w:t>
      </w:r>
      <w:proofErr w:type="gramStart"/>
      <w:r>
        <w:rPr>
          <w:rFonts w:ascii="Verdana" w:eastAsia="Verdana" w:hAnsi="Verdana" w:cs="Verdana"/>
          <w:sz w:val="20"/>
          <w:szCs w:val="20"/>
        </w:rPr>
        <w:t>serão</w:t>
      </w:r>
      <w:proofErr w:type="gramEnd"/>
      <w:r>
        <w:rPr>
          <w:rFonts w:ascii="Verdana" w:eastAsia="Verdana" w:hAnsi="Verdana" w:cs="Verdana"/>
          <w:sz w:val="20"/>
          <w:szCs w:val="20"/>
        </w:rPr>
        <w:t xml:space="preserve"> acrescidos de 1.000 (uma mil) unidades em virtude da necessidade de padronização dos crachás distribuídos com o novo modelo de suporte e de cordão.</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2.1. </w:t>
      </w:r>
      <w:r>
        <w:rPr>
          <w:rFonts w:ascii="Verdana" w:eastAsia="Verdana" w:hAnsi="Verdana" w:cs="Verdana"/>
          <w:sz w:val="20"/>
          <w:szCs w:val="20"/>
        </w:rPr>
        <w:t>O objeto desta contratação não se enquadra como sendo de bem de luxo, conforme Decreto nº. 10.818, de 2021.</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2.2. Os bens objeto desta contratação são caracterizados como comuns, conforme justificativa constante do Estudo Técnico Preliminar.</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2.3. O prazo de vigência da contratação é de </w:t>
      </w:r>
      <w:proofErr w:type="gramStart"/>
      <w:r>
        <w:rPr>
          <w:rFonts w:ascii="Verdana" w:eastAsia="Verdana" w:hAnsi="Verdana" w:cs="Verdana"/>
          <w:sz w:val="20"/>
          <w:szCs w:val="20"/>
        </w:rPr>
        <w:t>5</w:t>
      </w:r>
      <w:proofErr w:type="gramEnd"/>
      <w:r>
        <w:rPr>
          <w:rFonts w:ascii="Verdana" w:eastAsia="Verdana" w:hAnsi="Verdana" w:cs="Verdana"/>
          <w:sz w:val="20"/>
          <w:szCs w:val="20"/>
        </w:rPr>
        <w:t xml:space="preserve"> anos contados da assinatura do contrato, prorrogável por mais 5  anos, respeitada a vigência máxima decenal, na forma dos artigos 106 e 107 da Lei nº14.133, 2021). </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 xml:space="preserve">2.3.1. O fornecimento de bens é enquadrado como continuado tendo em vista o ingresso de novos servidores, novos estagiários, o desgaste natural decorrente do uso, sendo necessária a contínua reposição das placas identificadoras de PVC, bem como dos acessórios, sendo a vigência plurianual mais vantajosa, considerando a manutenção do </w:t>
      </w:r>
      <w:r>
        <w:rPr>
          <w:rFonts w:ascii="Verdana" w:eastAsia="Verdana" w:hAnsi="Verdana" w:cs="Verdana"/>
          <w:sz w:val="20"/>
          <w:szCs w:val="20"/>
        </w:rPr>
        <w:lastRenderedPageBreak/>
        <w:t>padrão, a logística de troca e fornecimento de informações funcionais e a economia envolvida decorrente, entre outros fatores, do envolvimento de pessoal para movimentar novos processos.</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2.3.2. O tipo de material a ser adquirido não tende a ter variação de preços dependente de moeda estrangeira ou alterações de macroeconomia, motivo pelo qual se considera viável a vigência por 5 anos com atualização de valores pelo índice de correção indicado neste termo.</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[CÓDIGO CATMAT: 10111] </w:t>
      </w:r>
    </w:p>
    <w:p w:rsidR="00112E29" w:rsidRDefault="00112E29">
      <w:pPr>
        <w:pBdr>
          <w:top w:val="nil"/>
          <w:left w:val="nil"/>
          <w:bottom w:val="nil"/>
          <w:right w:val="nil"/>
          <w:between w:val="nil"/>
        </w:pBdr>
        <w:tabs>
          <w:tab w:val="left" w:pos="0"/>
        </w:tabs>
        <w:spacing w:line="360" w:lineRule="auto"/>
        <w:ind w:left="1080" w:right="284"/>
        <w:jc w:val="both"/>
        <w:rPr>
          <w:rFonts w:ascii="Verdana" w:eastAsia="Verdana" w:hAnsi="Verdana" w:cs="Verdana"/>
          <w:b/>
          <w:sz w:val="20"/>
          <w:szCs w:val="20"/>
        </w:rPr>
      </w:pPr>
    </w:p>
    <w:p w:rsidR="00112E29" w:rsidRDefault="005726C7">
      <w:pPr>
        <w:pBdr>
          <w:top w:val="nil"/>
          <w:left w:val="nil"/>
          <w:bottom w:val="nil"/>
          <w:right w:val="nil"/>
          <w:between w:val="nil"/>
        </w:pBdr>
        <w:tabs>
          <w:tab w:val="left" w:pos="73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2.4 Descrição da solução como um todo considerado o ciclo de vida do objeto e especificação do produto (art. 6º, inciso XXIII, alínea ‘c’, e art. 40, §1º, inciso I, da Lei nº 14.133/2021): </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2.4.1. </w:t>
      </w:r>
      <w:r>
        <w:rPr>
          <w:rFonts w:ascii="Verdana" w:eastAsia="Verdana" w:hAnsi="Verdana" w:cs="Verdana"/>
          <w:sz w:val="20"/>
          <w:szCs w:val="20"/>
        </w:rPr>
        <w:t>A descrição da solução como um todo, encontra-se pormenorizada em tópico específico dos Estudos Técnicos Preliminares, apêndice deste Termo de Referência</w:t>
      </w:r>
      <w:r>
        <w:rPr>
          <w:rFonts w:ascii="Verdana" w:eastAsia="Verdana" w:hAnsi="Verdana" w:cs="Verdana"/>
          <w:b/>
          <w:i/>
          <w:sz w:val="20"/>
          <w:szCs w:val="20"/>
        </w:rPr>
        <w:t>.</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3. NECESSIDADE E JUSTIFICATIVA DA CONTRATAÇÃO</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3.1. A Fundamentação da Contratação e de seus quantitativos encontra-se pormenorizada em Tópico específico dos Estudos Técnicos Preliminares, apêndice deste Termo de Referência.</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highlight w:val="yellow"/>
        </w:rPr>
      </w:pPr>
      <w:r>
        <w:rPr>
          <w:rFonts w:ascii="Verdana" w:eastAsia="Verdana" w:hAnsi="Verdana" w:cs="Verdana"/>
          <w:sz w:val="20"/>
          <w:szCs w:val="20"/>
        </w:rPr>
        <w:t>3.2. Os suportes retráteis em substituição às presilhas atualmente em uso, tem por objetivo melhorar a visibilidade e o manuseio do crachá, ao apresentá-lo durante a identificação ou para atender ao uso em catracas eventualmente adquiridas pelo órgão.</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pBdr>
          <w:top w:val="nil"/>
          <w:left w:val="nil"/>
          <w:bottom w:val="nil"/>
          <w:right w:val="nil"/>
          <w:between w:val="nil"/>
        </w:pBdr>
        <w:tabs>
          <w:tab w:val="left" w:pos="0"/>
        </w:tabs>
        <w:spacing w:line="360" w:lineRule="auto"/>
        <w:ind w:right="284"/>
        <w:rPr>
          <w:rFonts w:ascii="Verdana" w:eastAsia="Verdana" w:hAnsi="Verdana" w:cs="Verdana"/>
          <w:b/>
          <w:sz w:val="20"/>
          <w:szCs w:val="20"/>
        </w:rPr>
      </w:pPr>
      <w:r>
        <w:rPr>
          <w:rFonts w:ascii="Verdana" w:eastAsia="Verdana" w:hAnsi="Verdana" w:cs="Verdana"/>
          <w:b/>
          <w:sz w:val="20"/>
          <w:szCs w:val="20"/>
        </w:rPr>
        <w:t xml:space="preserve">4.  CRITÉRIOS DE SUSTENTABILIDADE </w:t>
      </w:r>
    </w:p>
    <w:p w:rsidR="00112E29" w:rsidRDefault="005726C7">
      <w:pPr>
        <w:pBdr>
          <w:top w:val="nil"/>
          <w:left w:val="nil"/>
          <w:bottom w:val="nil"/>
          <w:right w:val="nil"/>
          <w:between w:val="nil"/>
        </w:pBdr>
        <w:tabs>
          <w:tab w:val="left" w:pos="0"/>
        </w:tabs>
        <w:spacing w:line="360" w:lineRule="auto"/>
        <w:ind w:right="285"/>
        <w:rPr>
          <w:rFonts w:ascii="Verdana" w:eastAsia="Verdana" w:hAnsi="Verdana" w:cs="Verdana"/>
          <w:sz w:val="20"/>
          <w:szCs w:val="20"/>
        </w:rPr>
      </w:pPr>
      <w:r>
        <w:rPr>
          <w:rFonts w:ascii="Verdana" w:eastAsia="Verdana" w:hAnsi="Verdana" w:cs="Verdana"/>
          <w:sz w:val="20"/>
          <w:szCs w:val="20"/>
        </w:rPr>
        <w:t>4.1. Além dos critérios de sustentabilidade eventualmente inseridos na descrição do objeto, devem ser atendidos os seguintes requisitos:</w:t>
      </w:r>
    </w:p>
    <w:p w:rsidR="00112E29" w:rsidRDefault="005726C7">
      <w:pPr>
        <w:pBdr>
          <w:top w:val="nil"/>
          <w:left w:val="nil"/>
          <w:bottom w:val="nil"/>
          <w:right w:val="nil"/>
          <w:between w:val="nil"/>
        </w:pBdr>
        <w:tabs>
          <w:tab w:val="left" w:pos="0"/>
        </w:tabs>
        <w:spacing w:line="360" w:lineRule="auto"/>
        <w:ind w:right="285"/>
        <w:rPr>
          <w:rFonts w:ascii="Verdana" w:eastAsia="Verdana" w:hAnsi="Verdana" w:cs="Verdana"/>
          <w:sz w:val="20"/>
          <w:szCs w:val="20"/>
        </w:rPr>
      </w:pPr>
      <w:r>
        <w:rPr>
          <w:rFonts w:ascii="Verdana" w:eastAsia="Verdana" w:hAnsi="Verdana" w:cs="Verdana"/>
          <w:sz w:val="20"/>
          <w:szCs w:val="20"/>
        </w:rPr>
        <w:t>4.1.1 os bens devem ser constituídos, no todo ou em parte, por material atóxico;</w:t>
      </w:r>
    </w:p>
    <w:p w:rsidR="00112E29" w:rsidRDefault="005726C7">
      <w:pPr>
        <w:pBdr>
          <w:top w:val="nil"/>
          <w:left w:val="nil"/>
          <w:bottom w:val="nil"/>
          <w:right w:val="nil"/>
          <w:between w:val="nil"/>
        </w:pBdr>
        <w:tabs>
          <w:tab w:val="left" w:pos="0"/>
        </w:tabs>
        <w:spacing w:line="360" w:lineRule="auto"/>
        <w:ind w:right="285"/>
        <w:rPr>
          <w:rFonts w:ascii="Verdana" w:eastAsia="Verdana" w:hAnsi="Verdana" w:cs="Verdana"/>
          <w:sz w:val="20"/>
          <w:szCs w:val="20"/>
        </w:rPr>
      </w:pPr>
      <w:r>
        <w:rPr>
          <w:rFonts w:ascii="Verdana" w:eastAsia="Verdana" w:hAnsi="Verdana" w:cs="Verdana"/>
          <w:sz w:val="20"/>
          <w:szCs w:val="20"/>
        </w:rPr>
        <w:t xml:space="preserve">4.1.2 os bens devem ser acondicionados em embalagem adequada, com o menor volume possível, fabricada em material reciclável ou biodegradável.  </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5. ALINHAMENTO ENTRE A CONTRATAÇÃO E O PLANEJAMENTO ESTRATÉGICO DO ÓRGÃO: </w:t>
      </w:r>
      <w:r>
        <w:rPr>
          <w:rFonts w:ascii="Verdana" w:eastAsia="Verdana" w:hAnsi="Verdana" w:cs="Verdana"/>
          <w:sz w:val="20"/>
          <w:szCs w:val="20"/>
        </w:rPr>
        <w:t xml:space="preserve">Esta contratação atende ao disposto no Planejamento Estratégico 2021-2026 deste Regional, aprovado pelo ATO TRT7.GP nº 64/2021, observando, especialmente, o previsto no Objetivo Estratégico </w:t>
      </w:r>
      <w:r>
        <w:rPr>
          <w:rFonts w:ascii="Verdana" w:eastAsia="Verdana" w:hAnsi="Verdana" w:cs="Verdana"/>
          <w:sz w:val="20"/>
          <w:szCs w:val="20"/>
          <w:u w:val="single"/>
        </w:rPr>
        <w:t xml:space="preserve">nº 8 - Incrementar modelo de gestão de pessoas: </w:t>
      </w:r>
      <w:r>
        <w:rPr>
          <w:rFonts w:ascii="Verdana" w:eastAsia="Verdana" w:hAnsi="Verdana" w:cs="Verdana"/>
          <w:sz w:val="20"/>
          <w:szCs w:val="20"/>
        </w:rPr>
        <w:t xml:space="preserve">Desenvolver, regulamentar e aplicar estratégias eficientes de alocação de força de trabalho, bem como propiciar um ambiente de trabalho saudável, levando-se em consideração os aspectos físicos e psicossociais que envolvam a </w:t>
      </w:r>
      <w:r>
        <w:rPr>
          <w:rFonts w:ascii="Verdana" w:eastAsia="Verdana" w:hAnsi="Verdana" w:cs="Verdana"/>
          <w:sz w:val="20"/>
          <w:szCs w:val="20"/>
        </w:rPr>
        <w:lastRenderedPageBreak/>
        <w:t>organização do trabalho, a gestão por competências, tendo como referencial a corresponsabilidade das lideranças e a autorresponsabilidade dos servidores e magistrados, os normativos dos órgãos de controle, as peculiaridades da jurisdição trabalhista, as competências exigíveis para o trabalho digital, como também as modalidades de trabalho presencial e à distância, além da inovação dos métodos e processos de trabalho.</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5.1 A demanda se encontra previamente prevista no PLANO ANUAL DE CONTRATAÇÕES.</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 xml:space="preserve">6.  REQUISITOS DA CONTRATAÇÃO (art. 6º, XXIII, alínea ‘d’, da Lei nº 14.133/21) </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6.1. </w:t>
      </w:r>
      <w:r>
        <w:rPr>
          <w:rFonts w:ascii="Verdana" w:eastAsia="Verdana" w:hAnsi="Verdana" w:cs="Verdana"/>
          <w:sz w:val="20"/>
          <w:szCs w:val="20"/>
        </w:rPr>
        <w:t>Não será admitida a subcontratação do objeto contratual.</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6.2. </w:t>
      </w:r>
      <w:r>
        <w:rPr>
          <w:rFonts w:ascii="Verdana" w:eastAsia="Verdana" w:hAnsi="Verdana" w:cs="Verdana"/>
          <w:sz w:val="20"/>
          <w:szCs w:val="20"/>
        </w:rPr>
        <w:t xml:space="preserve">Não haverá exigência da garantia da contratação dos </w:t>
      </w:r>
      <w:proofErr w:type="spellStart"/>
      <w:r>
        <w:rPr>
          <w:rFonts w:ascii="Verdana" w:eastAsia="Verdana" w:hAnsi="Verdana" w:cs="Verdana"/>
          <w:sz w:val="20"/>
          <w:szCs w:val="20"/>
        </w:rPr>
        <w:t>arts</w:t>
      </w:r>
      <w:proofErr w:type="spellEnd"/>
      <w:r>
        <w:rPr>
          <w:rFonts w:ascii="Verdana" w:eastAsia="Verdana" w:hAnsi="Verdana" w:cs="Verdana"/>
          <w:sz w:val="20"/>
          <w:szCs w:val="20"/>
        </w:rPr>
        <w:t>. 96 e seguintes da Lei nº 14.133/21, por se tratar de contratação de baixo vulto financeiro e baixa complexidade, sendo pago por demanda de fornecimento, onde qualquer descumprimento pode ser compensado com multas e sanções.</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b/>
          <w:sz w:val="20"/>
          <w:szCs w:val="20"/>
          <w:highlight w:val="white"/>
        </w:rPr>
      </w:pP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highlight w:val="white"/>
        </w:rPr>
        <w:t xml:space="preserve">6.3. </w:t>
      </w:r>
      <w:r>
        <w:rPr>
          <w:rFonts w:ascii="Verdana" w:eastAsia="Verdana" w:hAnsi="Verdana" w:cs="Verdana"/>
          <w:b/>
          <w:sz w:val="20"/>
          <w:szCs w:val="20"/>
        </w:rPr>
        <w:t>Da exigência de amostra:</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6.3.1.</w:t>
      </w:r>
      <w:r>
        <w:rPr>
          <w:rFonts w:ascii="Verdana" w:eastAsia="Verdana" w:hAnsi="Verdana" w:cs="Verdana"/>
          <w:sz w:val="20"/>
          <w:szCs w:val="20"/>
        </w:rPr>
        <w:t xml:space="preserve"> O licitante vencedor da etapa de lances deverá entregar ou postar uma amostra do produto no endereço: </w:t>
      </w:r>
      <w:r>
        <w:rPr>
          <w:rFonts w:ascii="Verdana" w:eastAsia="Verdana" w:hAnsi="Verdana" w:cs="Verdana"/>
          <w:b/>
          <w:sz w:val="20"/>
          <w:szCs w:val="20"/>
        </w:rPr>
        <w:t>Coordenadoria de Informações Funcionais - Rua Vicente Leite, 1281, 12º andar - Aldeota - CEP: 60170-150 - Fortaleza-CE</w:t>
      </w:r>
      <w:r>
        <w:rPr>
          <w:rFonts w:ascii="Verdana" w:eastAsia="Verdana" w:hAnsi="Verdana" w:cs="Verdana"/>
          <w:sz w:val="20"/>
          <w:szCs w:val="20"/>
        </w:rPr>
        <w:t xml:space="preserve">, em até 05 (cinco) dias úteis contados da convocação pelo Pregoeiro no sistema, observado o disposto nos itens item 6.3.2 e 6.3.3 deste Termo de Referência.  </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6.3.2. </w:t>
      </w:r>
      <w:r>
        <w:rPr>
          <w:rFonts w:ascii="Verdana" w:eastAsia="Verdana" w:hAnsi="Verdana" w:cs="Verdana"/>
          <w:sz w:val="20"/>
          <w:szCs w:val="20"/>
        </w:rPr>
        <w:t>Serão exigidas amostras dos seguintes itens:</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a)  Crachá em tamanho padrão conforme imagem e informações cadastrais fornecidas pelo Tribunal em arquivo no formato .</w:t>
      </w:r>
      <w:proofErr w:type="spellStart"/>
      <w:r>
        <w:rPr>
          <w:rFonts w:ascii="Verdana" w:eastAsia="Verdana" w:hAnsi="Verdana" w:cs="Verdana"/>
          <w:sz w:val="20"/>
          <w:szCs w:val="20"/>
        </w:rPr>
        <w:t>pdf</w:t>
      </w:r>
      <w:proofErr w:type="spellEnd"/>
      <w:r>
        <w:rPr>
          <w:rFonts w:ascii="Verdana" w:eastAsia="Verdana" w:hAnsi="Verdana" w:cs="Verdana"/>
          <w:sz w:val="20"/>
          <w:szCs w:val="20"/>
        </w:rPr>
        <w:t>;</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b) Cordão em tecido 100% em poliéster preto personalizado com impressão digital branca;</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c) Suporte retrátil de crachá, cor preta, com o brasão da República Federativa do Brasil impresso e resinado; presilha em clipe leitoso. </w:t>
      </w:r>
    </w:p>
    <w:p w:rsidR="00112E29" w:rsidRDefault="005726C7">
      <w:pP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6.3.3. </w:t>
      </w:r>
      <w:r>
        <w:rPr>
          <w:rFonts w:ascii="Verdana" w:eastAsia="Verdana" w:hAnsi="Verdana" w:cs="Verdana"/>
          <w:sz w:val="20"/>
          <w:szCs w:val="20"/>
        </w:rPr>
        <w:t>Serão avaliados os seguintes aspectos e padrões mínimos de aceitabilidade:</w:t>
      </w:r>
    </w:p>
    <w:p w:rsidR="00112E29" w:rsidRDefault="005726C7">
      <w:pP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a) Qualidade das impressões;</w:t>
      </w:r>
    </w:p>
    <w:p w:rsidR="00112E29" w:rsidRDefault="005726C7">
      <w:pP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b) Qualidade e resistência dos materiais;</w:t>
      </w:r>
    </w:p>
    <w:p w:rsidR="00112E29" w:rsidRDefault="005726C7">
      <w:pP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c) Tamanho conforme especificação;</w:t>
      </w:r>
    </w:p>
    <w:p w:rsidR="00112E29" w:rsidRDefault="005726C7">
      <w:pP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d) Resistência da fita retrátil do suporte. </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6.3.4. </w:t>
      </w:r>
      <w:r>
        <w:rPr>
          <w:rFonts w:ascii="Verdana" w:eastAsia="Verdana" w:hAnsi="Verdana" w:cs="Verdana"/>
          <w:sz w:val="20"/>
          <w:szCs w:val="20"/>
        </w:rPr>
        <w:t>É facultada a prorrogação do prazo estabelecido, a partir de solicitação fundamentada pelo interessado e antes de findo o prazo.</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6.3.5. </w:t>
      </w:r>
      <w:r>
        <w:rPr>
          <w:rFonts w:ascii="Verdana" w:eastAsia="Verdana" w:hAnsi="Verdana" w:cs="Verdana"/>
          <w:sz w:val="20"/>
          <w:szCs w:val="20"/>
        </w:rPr>
        <w:t xml:space="preserve">No caso de não haver entrega da amostra ou ocorrer atraso na entrega, sem </w:t>
      </w:r>
      <w:r>
        <w:rPr>
          <w:rFonts w:ascii="Verdana" w:eastAsia="Verdana" w:hAnsi="Verdana" w:cs="Verdana"/>
          <w:sz w:val="20"/>
          <w:szCs w:val="20"/>
        </w:rPr>
        <w:lastRenderedPageBreak/>
        <w:t>justificativa aceita, ou havendo entrega de amostra fora das especificações previstas, a proposta será recusada.</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6.3.6. </w:t>
      </w:r>
      <w:r>
        <w:rPr>
          <w:rFonts w:ascii="Verdana" w:eastAsia="Verdana" w:hAnsi="Verdana" w:cs="Verdana"/>
          <w:sz w:val="20"/>
          <w:szCs w:val="20"/>
        </w:rPr>
        <w:t>Os resultados das avaliações serão divulgados por meio de mensagem no sistema.</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6.3.7. </w:t>
      </w:r>
      <w:r>
        <w:rPr>
          <w:rFonts w:ascii="Verdana" w:eastAsia="Verdana" w:hAnsi="Verdana" w:cs="Verdana"/>
          <w:sz w:val="20"/>
          <w:szCs w:val="20"/>
        </w:rP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6.3.8. </w:t>
      </w:r>
      <w:r>
        <w:rPr>
          <w:rFonts w:ascii="Verdana" w:eastAsia="Verdana" w:hAnsi="Verdana" w:cs="Verdana"/>
          <w:sz w:val="20"/>
          <w:szCs w:val="20"/>
        </w:rPr>
        <w:t>Os exemplares colocados à disposição da Administração serão tratados como protótipos, podendo ser manuseados e desmontados pela equipe técnica responsável pela análise, não gerando direito a ressarcimento.</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6.3.9. </w:t>
      </w:r>
      <w:r>
        <w:rPr>
          <w:rFonts w:ascii="Verdana" w:eastAsia="Verdana" w:hAnsi="Verdana" w:cs="Verdana"/>
          <w:sz w:val="20"/>
          <w:szCs w:val="20"/>
        </w:rPr>
        <w:t xml:space="preserve">Após a divulgação do resultado final do certame, as amostras entregues deverão ser recolhidas pelos fornecedores no prazo de 30 (trinta) dias, após o qual poderão ser descartadas pela Administração, sem direito a ressarcimento. </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 xml:space="preserve">6.3.10. </w:t>
      </w:r>
      <w:r>
        <w:rPr>
          <w:rFonts w:ascii="Verdana" w:eastAsia="Verdana" w:hAnsi="Verdana" w:cs="Verdana"/>
          <w:sz w:val="20"/>
          <w:szCs w:val="20"/>
        </w:rPr>
        <w:t>Os interessados deverão colocar à disposição da Administração todas as condições indispensáveis à realização de testes e fornecer, sem ônus, os manuais impressos em língua portuguesa, necessários ao seu perfeito manuseio, quando for o caso.</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b/>
          <w:i/>
          <w:sz w:val="20"/>
          <w:szCs w:val="20"/>
          <w:highlight w:val="white"/>
        </w:rPr>
      </w:pP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7. EXECUÇÃO CONTRATUAL (</w:t>
      </w:r>
      <w:proofErr w:type="spellStart"/>
      <w:r>
        <w:rPr>
          <w:rFonts w:ascii="Verdana" w:eastAsia="Verdana" w:hAnsi="Verdana" w:cs="Verdana"/>
          <w:b/>
          <w:sz w:val="20"/>
          <w:szCs w:val="20"/>
        </w:rPr>
        <w:t>arts</w:t>
      </w:r>
      <w:proofErr w:type="spellEnd"/>
      <w:r>
        <w:rPr>
          <w:rFonts w:ascii="Verdana" w:eastAsia="Verdana" w:hAnsi="Verdana" w:cs="Verdana"/>
          <w:b/>
          <w:sz w:val="20"/>
          <w:szCs w:val="20"/>
        </w:rPr>
        <w:t>. 6º, XXIII, alínea “e” e 40, §1º, inciso II, da Lei nº 14.133/2021).</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highlight w:val="white"/>
        </w:rPr>
      </w:pPr>
      <w:r>
        <w:rPr>
          <w:rFonts w:ascii="Verdana" w:eastAsia="Verdana" w:hAnsi="Verdana" w:cs="Verdana"/>
          <w:b/>
          <w:sz w:val="20"/>
          <w:szCs w:val="20"/>
        </w:rPr>
        <w:t>7.1.</w:t>
      </w:r>
      <w:r>
        <w:rPr>
          <w:rFonts w:ascii="Verdana" w:eastAsia="Verdana" w:hAnsi="Verdana" w:cs="Verdana"/>
          <w:sz w:val="20"/>
          <w:szCs w:val="20"/>
        </w:rPr>
        <w:t xml:space="preserve"> As parcelas serão entregues nos seguintes prazos e condições, contados da emissão da nota de empenho:</w:t>
      </w:r>
    </w:p>
    <w:tbl>
      <w:tblPr>
        <w:tblStyle w:val="afe"/>
        <w:tblW w:w="8250" w:type="dxa"/>
        <w:tblInd w:w="-39" w:type="dxa"/>
        <w:tblBorders>
          <w:top w:val="single" w:sz="8" w:space="0" w:color="808080"/>
          <w:left w:val="single" w:sz="8" w:space="0" w:color="808080"/>
          <w:bottom w:val="single" w:sz="8" w:space="0" w:color="808080"/>
          <w:right w:val="single" w:sz="4" w:space="0" w:color="000000"/>
          <w:insideH w:val="single" w:sz="8" w:space="0" w:color="808080"/>
          <w:insideV w:val="single" w:sz="4" w:space="0" w:color="000000"/>
        </w:tblBorders>
        <w:tblLayout w:type="fixed"/>
        <w:tblLook w:val="0000"/>
      </w:tblPr>
      <w:tblGrid>
        <w:gridCol w:w="1065"/>
        <w:gridCol w:w="4200"/>
        <w:gridCol w:w="2985"/>
      </w:tblGrid>
      <w:tr w:rsidR="00112E29">
        <w:tc>
          <w:tcPr>
            <w:tcW w:w="1065" w:type="dxa"/>
          </w:tcPr>
          <w:p w:rsidR="00112E29" w:rsidRDefault="005726C7">
            <w:pPr>
              <w:spacing w:line="360" w:lineRule="auto"/>
              <w:jc w:val="center"/>
              <w:rPr>
                <w:rFonts w:ascii="Verdana" w:eastAsia="Verdana" w:hAnsi="Verdana" w:cs="Verdana"/>
                <w:b/>
              </w:rPr>
            </w:pPr>
            <w:r>
              <w:rPr>
                <w:rFonts w:ascii="Verdana" w:eastAsia="Verdana" w:hAnsi="Verdana" w:cs="Verdana"/>
                <w:b/>
              </w:rPr>
              <w:t>Item</w:t>
            </w:r>
          </w:p>
        </w:tc>
        <w:tc>
          <w:tcPr>
            <w:tcW w:w="4200" w:type="dxa"/>
            <w:tcBorders>
              <w:left w:val="single" w:sz="8" w:space="0" w:color="808080"/>
            </w:tcBorders>
          </w:tcPr>
          <w:p w:rsidR="00112E29" w:rsidRDefault="005726C7">
            <w:pPr>
              <w:spacing w:line="360" w:lineRule="auto"/>
              <w:jc w:val="center"/>
              <w:rPr>
                <w:rFonts w:ascii="Verdana" w:eastAsia="Verdana" w:hAnsi="Verdana" w:cs="Verdana"/>
                <w:b/>
              </w:rPr>
            </w:pPr>
            <w:r>
              <w:rPr>
                <w:rFonts w:ascii="Verdana" w:eastAsia="Verdana" w:hAnsi="Verdana" w:cs="Verdana"/>
                <w:b/>
              </w:rPr>
              <w:t>Composição do item</w:t>
            </w:r>
          </w:p>
        </w:tc>
        <w:tc>
          <w:tcPr>
            <w:tcW w:w="2985" w:type="dxa"/>
            <w:tcBorders>
              <w:left w:val="single" w:sz="8" w:space="0" w:color="808080"/>
              <w:right w:val="single" w:sz="8" w:space="0" w:color="808080"/>
            </w:tcBorders>
          </w:tcPr>
          <w:p w:rsidR="00112E29" w:rsidRDefault="005726C7">
            <w:pPr>
              <w:spacing w:line="360" w:lineRule="auto"/>
              <w:jc w:val="center"/>
              <w:rPr>
                <w:rFonts w:ascii="Verdana" w:eastAsia="Verdana" w:hAnsi="Verdana" w:cs="Verdana"/>
                <w:b/>
              </w:rPr>
            </w:pPr>
            <w:r>
              <w:rPr>
                <w:rFonts w:ascii="Verdana" w:eastAsia="Verdana" w:hAnsi="Verdana" w:cs="Verdana"/>
                <w:b/>
              </w:rPr>
              <w:t>Prazo de entrega</w:t>
            </w:r>
          </w:p>
        </w:tc>
      </w:tr>
      <w:tr w:rsidR="00112E29">
        <w:tc>
          <w:tcPr>
            <w:tcW w:w="1065" w:type="dxa"/>
          </w:tcPr>
          <w:p w:rsidR="00112E29" w:rsidRDefault="005726C7">
            <w:pPr>
              <w:spacing w:line="360" w:lineRule="auto"/>
              <w:rPr>
                <w:rFonts w:ascii="Verdana" w:eastAsia="Verdana" w:hAnsi="Verdana" w:cs="Verdana"/>
              </w:rPr>
            </w:pPr>
            <w:r>
              <w:rPr>
                <w:rFonts w:ascii="Verdana" w:eastAsia="Verdana" w:hAnsi="Verdana" w:cs="Verdana"/>
              </w:rPr>
              <w:t>1</w:t>
            </w:r>
          </w:p>
        </w:tc>
        <w:tc>
          <w:tcPr>
            <w:tcW w:w="4200" w:type="dxa"/>
            <w:tcBorders>
              <w:left w:val="single" w:sz="8" w:space="0" w:color="808080"/>
            </w:tcBorders>
          </w:tcPr>
          <w:p w:rsidR="00112E29" w:rsidRDefault="005726C7">
            <w:pPr>
              <w:spacing w:line="360" w:lineRule="auto"/>
              <w:rPr>
                <w:rFonts w:ascii="Verdana" w:eastAsia="Verdana" w:hAnsi="Verdana" w:cs="Verdana"/>
              </w:rPr>
            </w:pPr>
            <w:r>
              <w:rPr>
                <w:rFonts w:ascii="Verdana" w:eastAsia="Verdana" w:hAnsi="Verdana" w:cs="Verdana"/>
              </w:rPr>
              <w:t>Até 10 (dez) crachás</w:t>
            </w:r>
          </w:p>
        </w:tc>
        <w:tc>
          <w:tcPr>
            <w:tcW w:w="2985" w:type="dxa"/>
            <w:tcBorders>
              <w:left w:val="single" w:sz="8" w:space="0" w:color="808080"/>
              <w:right w:val="single" w:sz="8" w:space="0" w:color="808080"/>
            </w:tcBorders>
          </w:tcPr>
          <w:p w:rsidR="00112E29" w:rsidRDefault="005726C7">
            <w:pPr>
              <w:spacing w:line="360" w:lineRule="auto"/>
              <w:rPr>
                <w:rFonts w:ascii="Verdana" w:eastAsia="Verdana" w:hAnsi="Verdana" w:cs="Verdana"/>
              </w:rPr>
            </w:pPr>
            <w:proofErr w:type="gramStart"/>
            <w:r>
              <w:rPr>
                <w:rFonts w:ascii="Verdana" w:eastAsia="Verdana" w:hAnsi="Verdana" w:cs="Verdana"/>
              </w:rPr>
              <w:t>até</w:t>
            </w:r>
            <w:proofErr w:type="gramEnd"/>
            <w:r>
              <w:rPr>
                <w:rFonts w:ascii="Verdana" w:eastAsia="Verdana" w:hAnsi="Verdana" w:cs="Verdana"/>
              </w:rPr>
              <w:t xml:space="preserve"> 05 (cinco) dias úteis a contar do recebimento da ordem de serviço</w:t>
            </w:r>
          </w:p>
        </w:tc>
      </w:tr>
      <w:tr w:rsidR="00112E29">
        <w:tc>
          <w:tcPr>
            <w:tcW w:w="1065" w:type="dxa"/>
          </w:tcPr>
          <w:p w:rsidR="00112E29" w:rsidRDefault="005726C7">
            <w:pPr>
              <w:spacing w:line="360" w:lineRule="auto"/>
              <w:rPr>
                <w:rFonts w:ascii="Verdana" w:eastAsia="Verdana" w:hAnsi="Verdana" w:cs="Verdana"/>
              </w:rPr>
            </w:pPr>
            <w:r>
              <w:rPr>
                <w:rFonts w:ascii="Verdana" w:eastAsia="Verdana" w:hAnsi="Verdana" w:cs="Verdana"/>
              </w:rPr>
              <w:t>2</w:t>
            </w:r>
          </w:p>
        </w:tc>
        <w:tc>
          <w:tcPr>
            <w:tcW w:w="4200" w:type="dxa"/>
            <w:tcBorders>
              <w:left w:val="single" w:sz="4" w:space="0" w:color="808080"/>
              <w:bottom w:val="single" w:sz="4" w:space="0" w:color="808080"/>
            </w:tcBorders>
          </w:tcPr>
          <w:p w:rsidR="00112E29" w:rsidRDefault="005726C7">
            <w:pPr>
              <w:spacing w:line="360" w:lineRule="auto"/>
              <w:rPr>
                <w:rFonts w:ascii="Verdana" w:eastAsia="Verdana" w:hAnsi="Verdana" w:cs="Verdana"/>
              </w:rPr>
            </w:pPr>
            <w:r>
              <w:rPr>
                <w:rFonts w:ascii="Verdana" w:eastAsia="Verdana" w:hAnsi="Verdana" w:cs="Verdana"/>
              </w:rPr>
              <w:t>Acima de 10 (dez) crachás</w:t>
            </w:r>
          </w:p>
        </w:tc>
        <w:tc>
          <w:tcPr>
            <w:tcW w:w="2985" w:type="dxa"/>
            <w:tcBorders>
              <w:left w:val="single" w:sz="8" w:space="0" w:color="808080"/>
              <w:right w:val="single" w:sz="8" w:space="0" w:color="808080"/>
            </w:tcBorders>
          </w:tcPr>
          <w:p w:rsidR="00112E29" w:rsidRDefault="005726C7">
            <w:pPr>
              <w:spacing w:line="360" w:lineRule="auto"/>
              <w:rPr>
                <w:rFonts w:ascii="Verdana" w:eastAsia="Verdana" w:hAnsi="Verdana" w:cs="Verdana"/>
              </w:rPr>
            </w:pPr>
            <w:proofErr w:type="gramStart"/>
            <w:r>
              <w:rPr>
                <w:rFonts w:ascii="Verdana" w:eastAsia="Verdana" w:hAnsi="Verdana" w:cs="Verdana"/>
              </w:rPr>
              <w:t>até</w:t>
            </w:r>
            <w:proofErr w:type="gramEnd"/>
            <w:r>
              <w:rPr>
                <w:rFonts w:ascii="Verdana" w:eastAsia="Verdana" w:hAnsi="Verdana" w:cs="Verdana"/>
              </w:rPr>
              <w:t xml:space="preserve"> 07 (sete) dias úteis a contar do recebimento da ordem de serviço</w:t>
            </w:r>
          </w:p>
        </w:tc>
      </w:tr>
      <w:tr w:rsidR="00112E29">
        <w:tc>
          <w:tcPr>
            <w:tcW w:w="1065" w:type="dxa"/>
          </w:tcPr>
          <w:p w:rsidR="00112E29" w:rsidRDefault="005726C7">
            <w:pPr>
              <w:spacing w:line="360" w:lineRule="auto"/>
              <w:rPr>
                <w:rFonts w:ascii="Verdana" w:eastAsia="Verdana" w:hAnsi="Verdana" w:cs="Verdana"/>
              </w:rPr>
            </w:pPr>
            <w:r>
              <w:rPr>
                <w:rFonts w:ascii="Verdana" w:eastAsia="Verdana" w:hAnsi="Verdana" w:cs="Verdana"/>
              </w:rPr>
              <w:t>3</w:t>
            </w:r>
          </w:p>
        </w:tc>
        <w:tc>
          <w:tcPr>
            <w:tcW w:w="4200" w:type="dxa"/>
            <w:tcBorders>
              <w:left w:val="single" w:sz="4" w:space="0" w:color="808080"/>
              <w:bottom w:val="single" w:sz="4" w:space="0" w:color="808080"/>
            </w:tcBorders>
          </w:tcPr>
          <w:p w:rsidR="00112E29" w:rsidRDefault="005726C7">
            <w:pPr>
              <w:spacing w:line="360" w:lineRule="auto"/>
              <w:rPr>
                <w:rFonts w:ascii="Verdana" w:eastAsia="Verdana" w:hAnsi="Verdana" w:cs="Verdana"/>
              </w:rPr>
            </w:pPr>
            <w:r>
              <w:rPr>
                <w:rFonts w:ascii="Verdana" w:eastAsia="Verdana" w:hAnsi="Verdana" w:cs="Verdana"/>
              </w:rPr>
              <w:t>Acima de 100 (cem) crachás</w:t>
            </w:r>
          </w:p>
        </w:tc>
        <w:tc>
          <w:tcPr>
            <w:tcW w:w="2985" w:type="dxa"/>
            <w:tcBorders>
              <w:left w:val="single" w:sz="8" w:space="0" w:color="808080"/>
              <w:right w:val="single" w:sz="8" w:space="0" w:color="808080"/>
            </w:tcBorders>
          </w:tcPr>
          <w:p w:rsidR="00112E29" w:rsidRDefault="005726C7">
            <w:pPr>
              <w:spacing w:line="360" w:lineRule="auto"/>
              <w:rPr>
                <w:rFonts w:ascii="Verdana" w:eastAsia="Verdana" w:hAnsi="Verdana" w:cs="Verdana"/>
              </w:rPr>
            </w:pPr>
            <w:proofErr w:type="gramStart"/>
            <w:r>
              <w:rPr>
                <w:rFonts w:ascii="Verdana" w:eastAsia="Verdana" w:hAnsi="Verdana" w:cs="Verdana"/>
              </w:rPr>
              <w:t>até</w:t>
            </w:r>
            <w:proofErr w:type="gramEnd"/>
            <w:r>
              <w:rPr>
                <w:rFonts w:ascii="Verdana" w:eastAsia="Verdana" w:hAnsi="Verdana" w:cs="Verdana"/>
              </w:rPr>
              <w:t xml:space="preserve"> 15 (quinze) dias úteis a contar do recebimento da ordem de serviço</w:t>
            </w:r>
          </w:p>
        </w:tc>
      </w:tr>
    </w:tbl>
    <w:p w:rsidR="00112E29" w:rsidRDefault="005726C7">
      <w:pPr>
        <w:pBdr>
          <w:top w:val="nil"/>
          <w:left w:val="nil"/>
          <w:bottom w:val="nil"/>
          <w:right w:val="nil"/>
          <w:between w:val="nil"/>
        </w:pBdr>
        <w:spacing w:line="360" w:lineRule="auto"/>
        <w:rPr>
          <w:rFonts w:ascii="Verdana" w:eastAsia="Verdana" w:hAnsi="Verdana" w:cs="Verdana"/>
          <w:sz w:val="20"/>
          <w:szCs w:val="20"/>
        </w:rPr>
      </w:pPr>
      <w:r>
        <w:rPr>
          <w:rFonts w:ascii="Verdana" w:eastAsia="Verdana" w:hAnsi="Verdana" w:cs="Verdana"/>
          <w:sz w:val="20"/>
          <w:szCs w:val="20"/>
        </w:rPr>
        <w:t> </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7.2. Caso não seja possível a entrega na data assinalada, a empresa deverá comunicar as razões respectivas com pelo menos 02 (dois) dias de antecedência para que qualquer pleito de prorrogação de prazo seja analisado, ressalvadas situações de </w:t>
      </w:r>
      <w:r>
        <w:rPr>
          <w:rFonts w:ascii="Verdana" w:eastAsia="Verdana" w:hAnsi="Verdana" w:cs="Verdana"/>
          <w:sz w:val="20"/>
          <w:szCs w:val="20"/>
        </w:rPr>
        <w:lastRenderedPageBreak/>
        <w:t>caso fortuito e força maior.</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highlight w:val="white"/>
        </w:rPr>
      </w:pPr>
      <w:r>
        <w:rPr>
          <w:rFonts w:ascii="Verdana" w:eastAsia="Verdana" w:hAnsi="Verdana" w:cs="Verdana"/>
          <w:sz w:val="20"/>
          <w:szCs w:val="20"/>
        </w:rPr>
        <w:t xml:space="preserve">7.3. Os bens deverão ser entregues no seguinte endereço: </w:t>
      </w:r>
      <w:r>
        <w:rPr>
          <w:rFonts w:ascii="Verdana" w:eastAsia="Verdana" w:hAnsi="Verdana" w:cs="Verdana"/>
          <w:b/>
          <w:sz w:val="20"/>
          <w:szCs w:val="20"/>
        </w:rPr>
        <w:t>Coordenadoria de Informações Funcionais - Rua Vicente Leite, 1281, 12º andar - Aldeota - CEP: 60170-150 - Fortaleza - CE.</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7.4.</w:t>
      </w:r>
      <w:r>
        <w:rPr>
          <w:rFonts w:ascii="Verdana" w:eastAsia="Verdana" w:hAnsi="Verdana" w:cs="Verdana"/>
          <w:b/>
          <w:sz w:val="20"/>
          <w:szCs w:val="20"/>
        </w:rPr>
        <w:t xml:space="preserve"> </w:t>
      </w:r>
      <w:r>
        <w:rPr>
          <w:rFonts w:ascii="Verdana" w:eastAsia="Verdana" w:hAnsi="Verdana" w:cs="Verdana"/>
          <w:sz w:val="20"/>
          <w:szCs w:val="20"/>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7.5. Os bens poderão ser rejeitados, no todo ou em parte, inclusive antes do recebimento provisório, quando em desacordo com as especificações constantes no Termo de Referência e na proposta, devendo ser substituídos no prazo de 03 (três) dias úteis, a contar da notificação da contratada, às suas custas, sem prejuízo da aplicação das penalidades.</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7.6. O recebimento definitivo ocorrerá no prazo de 05 (cinco) dias úteis, a contar do recebimento da nota fiscal ou instrumento de cobrança equivalente pela Administração, após a verificação da qualidade e quantidade do material e consequente aceitação mediante termo detalhado.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7.7. Para as contratações decorrentes de despesas cujos valores não ultrapassem o limite de que trata o </w:t>
      </w:r>
      <w:hyperlink r:id="rId6" w:anchor="art75">
        <w:r>
          <w:rPr>
            <w:rFonts w:ascii="Verdana" w:eastAsia="Verdana" w:hAnsi="Verdana" w:cs="Verdana"/>
            <w:sz w:val="20"/>
            <w:szCs w:val="20"/>
            <w:u w:val="single"/>
          </w:rPr>
          <w:t>inciso II do art. 75 da Lei nº 14.133, de 2021</w:t>
        </w:r>
      </w:hyperlink>
      <w:r>
        <w:rPr>
          <w:rFonts w:ascii="Verdana" w:eastAsia="Verdana" w:hAnsi="Verdana" w:cs="Verdana"/>
          <w:sz w:val="20"/>
          <w:szCs w:val="20"/>
        </w:rPr>
        <w:t>, o prazo máximo para o recebimento definitivo será de até 10 (dez) dias úteis.</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7.8. O prazo para recebimento definitivo poderá ser excepcionalmente prorrogado, de forma justificada, por igual período, quando houver necessidade de diligências para a aferição do atendimento das exigências contratuais.</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7.9. No caso de controvérsia sobre a execução do objeto, quanto à dimensão, qualidade e quantidade, deverá ser observado o teor do </w:t>
      </w:r>
      <w:hyperlink r:id="rId7" w:anchor="art143">
        <w:r>
          <w:rPr>
            <w:rFonts w:ascii="Verdana" w:eastAsia="Verdana" w:hAnsi="Verdana" w:cs="Verdana"/>
            <w:sz w:val="20"/>
            <w:szCs w:val="20"/>
            <w:u w:val="single"/>
          </w:rPr>
          <w:t>art. 143 da Lei nº 14.133, de 2021</w:t>
        </w:r>
      </w:hyperlink>
      <w:r>
        <w:rPr>
          <w:rFonts w:ascii="Verdana" w:eastAsia="Verdana" w:hAnsi="Verdana" w:cs="Verdana"/>
          <w:sz w:val="20"/>
          <w:szCs w:val="20"/>
        </w:rPr>
        <w:t xml:space="preserve">, comunicando-se à empresa para emissão de Nota Fiscal no que </w:t>
      </w:r>
      <w:proofErr w:type="spellStart"/>
      <w:r>
        <w:rPr>
          <w:rFonts w:ascii="Verdana" w:eastAsia="Verdana" w:hAnsi="Verdana" w:cs="Verdana"/>
          <w:sz w:val="20"/>
          <w:szCs w:val="20"/>
        </w:rPr>
        <w:t>pertine</w:t>
      </w:r>
      <w:proofErr w:type="spellEnd"/>
      <w:r>
        <w:rPr>
          <w:rFonts w:ascii="Verdana" w:eastAsia="Verdana" w:hAnsi="Verdana" w:cs="Verdana"/>
          <w:sz w:val="20"/>
          <w:szCs w:val="20"/>
        </w:rPr>
        <w:t xml:space="preserve"> à parcela incontroversa da execução do objeto, para efeito de liquidação e pagamento.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7.10.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7.11. O recebimento provisório ou definitivo não excluirá a responsabilidade civil pela solidez e pela segurança do serviço nem a responsabilidade ético-profissional pela perfeita execução do contrato.</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 xml:space="preserve">8. ESPECIFICAÇÃO DA GARANTIA CONTRATUAL EXIGIDA E DAS CONDIÇÕES DE MANUTENÇÃO E ASSISTÊNCIA TÉCNICA (art. 40, §1º, inciso III, da Lei nº </w:t>
      </w:r>
      <w:r>
        <w:rPr>
          <w:rFonts w:ascii="Verdana" w:eastAsia="Verdana" w:hAnsi="Verdana" w:cs="Verdana"/>
          <w:b/>
          <w:sz w:val="20"/>
          <w:szCs w:val="20"/>
        </w:rPr>
        <w:lastRenderedPageBreak/>
        <w:t xml:space="preserve">14.133/2021) </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8.1. O prazo de garantia é aquele estabelecido na Lei nº 8.078, de 11 de setembro de 1990 (Código de Defesa do Consumidor).</w:t>
      </w:r>
    </w:p>
    <w:p w:rsidR="00112E29" w:rsidRDefault="00112E29">
      <w:pPr>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9.</w:t>
      </w:r>
      <w:r>
        <w:rPr>
          <w:rFonts w:ascii="Verdana" w:eastAsia="Verdana" w:hAnsi="Verdana" w:cs="Verdana"/>
          <w:sz w:val="20"/>
          <w:szCs w:val="20"/>
        </w:rPr>
        <w:t xml:space="preserve">  </w:t>
      </w:r>
      <w:r>
        <w:rPr>
          <w:rFonts w:ascii="Verdana" w:eastAsia="Verdana" w:hAnsi="Verdana" w:cs="Verdana"/>
          <w:b/>
          <w:sz w:val="20"/>
          <w:szCs w:val="20"/>
        </w:rPr>
        <w:t>MODELO DE GESTÃO DO CONTRATO (art. 6º, XXIII, alínea “f”, da Lei nº. 14.133/21)</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9.1. O contrato deverá ser executado fielmente pelas partes, de acordo com as cláusulas avençadas e as normas da Lei nº. 14.133, de 2021, e cada parte responderá pelas consequências de sua inexecução total ou parcial.</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9.2. Em caso de impedimento, ordem de paralisação ou suspensão do contrato, o cronograma de execução será prorrogado automaticamente pelo tempo correspondente, anotadas tais circunstâncias mediante simples apostila (Lei nº 14.133/2021, art. 115, §5º).</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9.3. As comunicações entre o órgão ou entidade e a contratada devem ser realizadas por escrito sempre que o ato exigir tal formalidade, admitindo-se o uso de mensagem eletrônica para esse fim.</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9.4. O órgão ou entidade poderá convocar representante da empresa para adoção de providências que devam ser cumpridas de imediato.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9.5. A execução do contrato deverá ser acompanhada e fiscalizada pelo(s) fiscal(is) do contrato, ou pelos respectivos substitutos (</w:t>
      </w:r>
      <w:hyperlink r:id="rId8" w:anchor="art117">
        <w:r>
          <w:rPr>
            <w:rFonts w:ascii="Verdana" w:eastAsia="Verdana" w:hAnsi="Verdana" w:cs="Verdana"/>
            <w:sz w:val="20"/>
            <w:szCs w:val="20"/>
            <w:u w:val="single"/>
          </w:rPr>
          <w:t>Lei nº 14.133, de 2021, art. 117, caput</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9.6. O fiscal técnico do contrato acompanhará a execução do contrato, para que sejam cumpridas todas as condições estabelecidas no contrato, de modo a assegurar os melhores resultados para a Administração. (Decreto nº 11.246, de 2022, art. 22, VI);</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9.6.1.O fiscal técnico do contrato anotará no histórico de gerenciamento do contrato todas as ocorrências relacionadas à execução do contrato, com a descrição do que for necessário para a regularização das faltas ou dos defeitos observados. (</w:t>
      </w:r>
      <w:hyperlink r:id="rId9" w:anchor="art117%C2%A71">
        <w:r>
          <w:rPr>
            <w:rFonts w:ascii="Verdana" w:eastAsia="Verdana" w:hAnsi="Verdana" w:cs="Verdana"/>
            <w:sz w:val="20"/>
            <w:szCs w:val="20"/>
            <w:u w:val="single"/>
          </w:rPr>
          <w:t>Lei nº 14.133, de 2021, art. 117, §1º</w:t>
        </w:r>
      </w:hyperlink>
      <w:r>
        <w:rPr>
          <w:rFonts w:ascii="Verdana" w:eastAsia="Verdana" w:hAnsi="Verdana" w:cs="Verdana"/>
          <w:sz w:val="20"/>
          <w:szCs w:val="20"/>
        </w:rPr>
        <w:t xml:space="preserve">, e </w:t>
      </w:r>
      <w:hyperlink r:id="rId10" w:anchor="art22">
        <w:r>
          <w:rPr>
            <w:rFonts w:ascii="Verdana" w:eastAsia="Verdana" w:hAnsi="Verdana" w:cs="Verdana"/>
            <w:sz w:val="20"/>
            <w:szCs w:val="20"/>
            <w:u w:val="single"/>
          </w:rPr>
          <w:t>Decreto nº 11.246, de 2022, art. 22, II);</w:t>
        </w:r>
      </w:hyperlink>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9.6.2. Identificada qualquer inexatidão ou irregularidade, o fiscal técnico do contrato emitirá notificações para a correção da execução do contrato, determinando prazo para a correção. (</w:t>
      </w:r>
      <w:hyperlink r:id="rId11" w:anchor="art22">
        <w:r>
          <w:rPr>
            <w:rFonts w:ascii="Verdana" w:eastAsia="Verdana" w:hAnsi="Verdana" w:cs="Verdana"/>
            <w:sz w:val="20"/>
            <w:szCs w:val="20"/>
            <w:u w:val="single"/>
          </w:rPr>
          <w:t>Decreto nº 11.246, de 2022, art. 22, III</w:t>
        </w:r>
      </w:hyperlink>
      <w:r>
        <w:rPr>
          <w:rFonts w:ascii="Verdana" w:eastAsia="Verdana" w:hAnsi="Verdana" w:cs="Verdana"/>
          <w:sz w:val="20"/>
          <w:szCs w:val="20"/>
        </w:rPr>
        <w:t xml:space="preserve">); </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9.6.3. O fiscal técnico do contrato informará ao gestor do contato, em tempo hábil, a situação que demandar decisão ou adoção de medidas que ultrapassem sua competência, para que adote as medidas necessárias e saneadoras, se for o caso. (</w:t>
      </w:r>
      <w:hyperlink r:id="rId12" w:anchor="art22">
        <w:r>
          <w:rPr>
            <w:rFonts w:ascii="Verdana" w:eastAsia="Verdana" w:hAnsi="Verdana" w:cs="Verdana"/>
            <w:sz w:val="20"/>
            <w:szCs w:val="20"/>
            <w:u w:val="single"/>
          </w:rPr>
          <w:t>Decreto nº 11.246, de 2022, art. 22, IV</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9.6.4.No caso de ocorrências que possam inviabilizar a execução do contrato nas datas aprazadas, o fiscal técnico do contrato comunicará o fato imediatamente ao gestor do contrato. (</w:t>
      </w:r>
      <w:hyperlink r:id="rId13" w:anchor="art22">
        <w:r>
          <w:rPr>
            <w:rFonts w:ascii="Verdana" w:eastAsia="Verdana" w:hAnsi="Verdana" w:cs="Verdana"/>
            <w:sz w:val="20"/>
            <w:szCs w:val="20"/>
            <w:u w:val="single"/>
          </w:rPr>
          <w:t>Decreto nº 11.246, de 2022, art. 22, V</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lastRenderedPageBreak/>
        <w:t xml:space="preserve">9.6.5. O fiscal técnico do contrato   deve comunicar ao gestor do contrato, em tempo hábil, o término do contrato sob sua responsabilidade, com vistas à renovação tempestiva ou à prorrogação contratual </w:t>
      </w:r>
      <w:hyperlink r:id="rId14" w:anchor="art22">
        <w:r>
          <w:rPr>
            <w:rFonts w:ascii="Verdana" w:eastAsia="Verdana" w:hAnsi="Verdana" w:cs="Verdana"/>
            <w:sz w:val="20"/>
            <w:szCs w:val="20"/>
            <w:u w:val="single"/>
          </w:rPr>
          <w:t>(Decreto nº 11.246, de 2022, art. 22, VII</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9.7. O fiscal administrativo do contrato verificará a manutenção das condições de habilitação da contratada, acompanhará o empenho, o pagamento, as garantias, as glosas e a formalização de </w:t>
      </w:r>
      <w:proofErr w:type="spellStart"/>
      <w:r>
        <w:rPr>
          <w:rFonts w:ascii="Verdana" w:eastAsia="Verdana" w:hAnsi="Verdana" w:cs="Verdana"/>
          <w:sz w:val="20"/>
          <w:szCs w:val="20"/>
        </w:rPr>
        <w:t>apostilamento</w:t>
      </w:r>
      <w:proofErr w:type="spellEnd"/>
      <w:r>
        <w:rPr>
          <w:rFonts w:ascii="Verdana" w:eastAsia="Verdana" w:hAnsi="Verdana" w:cs="Verdana"/>
          <w:sz w:val="20"/>
          <w:szCs w:val="20"/>
        </w:rPr>
        <w:t xml:space="preserve"> e termos aditivos, solicitando quaisquer documentos comprobatórios pertinentes, caso necessário (</w:t>
      </w:r>
      <w:hyperlink r:id="rId15" w:anchor="art23">
        <w:r>
          <w:rPr>
            <w:rFonts w:ascii="Verdana" w:eastAsia="Verdana" w:hAnsi="Verdana" w:cs="Verdana"/>
            <w:sz w:val="20"/>
            <w:szCs w:val="20"/>
            <w:u w:val="single"/>
          </w:rPr>
          <w:t>Art. 23, I e II, do Decreto nº 11.246, de 2022</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9.7.1. Caso ocorra descumprimento das obrigações contratuais, o fiscal administrativo do contrato atuará tempestivamente na solução do problema, reportando ao gestor do contrato para que tome as providências cabíveis, quando ultrapassar a sua competência; (</w:t>
      </w:r>
      <w:hyperlink r:id="rId16" w:anchor="art23">
        <w:r>
          <w:rPr>
            <w:rFonts w:ascii="Verdana" w:eastAsia="Verdana" w:hAnsi="Verdana" w:cs="Verdana"/>
            <w:sz w:val="20"/>
            <w:szCs w:val="20"/>
            <w:u w:val="single"/>
          </w:rPr>
          <w:t>Decreto nº 11.246, de 2022, art. 23, IV</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9.8.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17" w:anchor="art21">
        <w:r>
          <w:rPr>
            <w:rFonts w:ascii="Verdana" w:eastAsia="Verdana" w:hAnsi="Verdana" w:cs="Verdana"/>
            <w:sz w:val="20"/>
            <w:szCs w:val="20"/>
            <w:u w:val="single"/>
          </w:rPr>
          <w:t>Decreto nº 11.246, de 2022, art. 21, IV</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9.8.1. O gestor do contrato acompanhará a manutenção das condições de habilitação da contratada, para fins de empenho de despesa e pagamento, e anotará os problemas que obstem o fluxo normal da liquidação e do pagamento da despesa no relatório de riscos eventuais. (</w:t>
      </w:r>
      <w:hyperlink r:id="rId18" w:anchor="art21">
        <w:r>
          <w:rPr>
            <w:rFonts w:ascii="Verdana" w:eastAsia="Verdana" w:hAnsi="Verdana" w:cs="Verdana"/>
            <w:sz w:val="20"/>
            <w:szCs w:val="20"/>
            <w:u w:val="single"/>
          </w:rPr>
          <w:t>Decreto nº 11.246, de 2022, art. 21, III</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9.8.2. 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19" w:anchor="art21">
        <w:r>
          <w:rPr>
            <w:rFonts w:ascii="Verdana" w:eastAsia="Verdana" w:hAnsi="Verdana" w:cs="Verdana"/>
            <w:sz w:val="20"/>
            <w:szCs w:val="20"/>
            <w:u w:val="single"/>
          </w:rPr>
          <w:t>Decreto nº 11.246, de 2022, art. 21, II</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9.8.3.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20" w:anchor="art21">
        <w:r>
          <w:rPr>
            <w:rFonts w:ascii="Verdana" w:eastAsia="Verdana" w:hAnsi="Verdana" w:cs="Verdana"/>
            <w:sz w:val="20"/>
            <w:szCs w:val="20"/>
            <w:u w:val="single"/>
          </w:rPr>
          <w:t>Decreto nº 11.246, de 2022, art. 21, VIII</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t>9.8.4.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hyperlink r:id="rId21" w:anchor="art21">
        <w:r>
          <w:rPr>
            <w:rFonts w:ascii="Verdana" w:eastAsia="Verdana" w:hAnsi="Verdana" w:cs="Verdana"/>
            <w:sz w:val="20"/>
            <w:szCs w:val="20"/>
            <w:u w:val="single"/>
          </w:rPr>
          <w:t>Decreto nº 11.246, de 2022, art. 21, X</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lastRenderedPageBreak/>
        <w:t>9.9. O fiscal administrativo do contrato comunicará ao gestor do contrato, em tempo hábil, o término do contrato sob sua responsabilidade, com vistas à tempestiva renovação ou prorrogação contratual. (</w:t>
      </w:r>
      <w:hyperlink r:id="rId22" w:anchor="art22">
        <w:r>
          <w:rPr>
            <w:rFonts w:ascii="Verdana" w:eastAsia="Verdana" w:hAnsi="Verdana" w:cs="Verdana"/>
            <w:sz w:val="20"/>
            <w:szCs w:val="20"/>
            <w:u w:val="single"/>
          </w:rPr>
          <w:t>Decreto nº 11.246, de 2022, art. 22, VII</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9.10.O gestor do contrato deverá elaborar relatório final com informações sobre a consecução dos objetivos que tenham justificado a contratação e eventuais condutas a serem adotadas para o aprimoramento das atividades da Administração. (</w:t>
      </w:r>
      <w:hyperlink r:id="rId23" w:anchor="art21">
        <w:r>
          <w:rPr>
            <w:rFonts w:ascii="Verdana" w:eastAsia="Verdana" w:hAnsi="Verdana" w:cs="Verdana"/>
            <w:sz w:val="20"/>
            <w:szCs w:val="20"/>
            <w:u w:val="single"/>
          </w:rPr>
          <w:t>Decreto nº 11.246, de 2022, art. 21, VI</w:t>
        </w:r>
      </w:hyperlink>
      <w:r>
        <w:rPr>
          <w:rFonts w:ascii="Verdana" w:eastAsia="Verdana" w:hAnsi="Verdana" w:cs="Verdana"/>
          <w:sz w:val="20"/>
          <w:szCs w:val="20"/>
        </w:rPr>
        <w:t xml:space="preserve">). </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10. HABILITAÇÃO: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10.1. Para fins de habilitação ao certame, os interessados terão de satisfazer os requisitos relativos a:</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a) Cumprimento do disposto no inciso XXXIII do art. 7º da Constituição Federal e na Lei nº 9.854/99;</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b) Habilitação jurídica;</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bookmarkStart w:id="1" w:name="_heading=h.gjdgxs" w:colFirst="0" w:colLast="0"/>
      <w:bookmarkEnd w:id="1"/>
      <w:r>
        <w:rPr>
          <w:rFonts w:ascii="Verdana" w:eastAsia="Verdana" w:hAnsi="Verdana" w:cs="Verdana"/>
          <w:sz w:val="20"/>
          <w:szCs w:val="20"/>
        </w:rPr>
        <w:t>c) Regularidade Fiscal, Social e Trabalhista.</w:t>
      </w:r>
    </w:p>
    <w:p w:rsidR="00112E29" w:rsidRDefault="005726C7">
      <w:pPr>
        <w:widowControl/>
        <w:pBdr>
          <w:top w:val="nil"/>
          <w:left w:val="nil"/>
          <w:bottom w:val="nil"/>
          <w:right w:val="nil"/>
          <w:between w:val="nil"/>
        </w:pBdr>
        <w:tabs>
          <w:tab w:val="left" w:pos="0"/>
          <w:tab w:val="left" w:pos="720"/>
        </w:tabs>
        <w:spacing w:line="360" w:lineRule="auto"/>
        <w:ind w:right="284"/>
        <w:jc w:val="both"/>
        <w:rPr>
          <w:rFonts w:ascii="Verdana" w:eastAsia="Verdana" w:hAnsi="Verdana" w:cs="Verdana"/>
          <w:sz w:val="20"/>
          <w:szCs w:val="20"/>
        </w:rPr>
      </w:pPr>
      <w:r>
        <w:rPr>
          <w:rFonts w:ascii="Verdana" w:eastAsia="Verdana" w:hAnsi="Verdana" w:cs="Verdana"/>
          <w:sz w:val="20"/>
          <w:szCs w:val="20"/>
        </w:rPr>
        <w:t>10.2. O cumprimento do disposto no item “a” dar-se-á mediante declaração do interessado de que não possui em seu quadro de pessoal empregado(s) com menos de 18 (dezoito) anos em trabalho noturno, perigoso ou</w:t>
      </w:r>
      <w:proofErr w:type="gramStart"/>
      <w:r>
        <w:rPr>
          <w:rFonts w:ascii="Verdana" w:eastAsia="Verdana" w:hAnsi="Verdana" w:cs="Verdana"/>
          <w:sz w:val="20"/>
          <w:szCs w:val="20"/>
        </w:rPr>
        <w:t xml:space="preserve">  </w:t>
      </w:r>
      <w:proofErr w:type="gramEnd"/>
      <w:r>
        <w:rPr>
          <w:rFonts w:ascii="Verdana" w:eastAsia="Verdana" w:hAnsi="Verdana" w:cs="Verdana"/>
          <w:sz w:val="20"/>
          <w:szCs w:val="20"/>
        </w:rPr>
        <w:t xml:space="preserve">insalubre e de 16 (dezesseis) anos em qualquer trabalho, salvo na condição de aprendiz, a partir de 14 (quatorze) anos, para o caso de pessoa Jurídica. </w:t>
      </w:r>
    </w:p>
    <w:p w:rsidR="00112E29" w:rsidRDefault="00112E29">
      <w:pPr>
        <w:widowControl/>
        <w:pBdr>
          <w:top w:val="nil"/>
          <w:left w:val="nil"/>
          <w:bottom w:val="nil"/>
          <w:right w:val="nil"/>
          <w:between w:val="nil"/>
        </w:pBdr>
        <w:tabs>
          <w:tab w:val="left" w:pos="0"/>
          <w:tab w:val="left" w:pos="720"/>
        </w:tabs>
        <w:spacing w:line="360" w:lineRule="auto"/>
        <w:ind w:right="284"/>
        <w:jc w:val="both"/>
        <w:rPr>
          <w:rFonts w:ascii="Verdana" w:eastAsia="Verdana" w:hAnsi="Verdana" w:cs="Verdana"/>
          <w:b/>
          <w:sz w:val="20"/>
          <w:szCs w:val="20"/>
          <w:u w:val="single"/>
        </w:rPr>
      </w:pPr>
    </w:p>
    <w:p w:rsidR="00112E29" w:rsidRDefault="005726C7">
      <w:pPr>
        <w:widowControl/>
        <w:pBdr>
          <w:top w:val="nil"/>
          <w:left w:val="nil"/>
          <w:bottom w:val="nil"/>
          <w:right w:val="nil"/>
          <w:between w:val="nil"/>
        </w:pBdr>
        <w:tabs>
          <w:tab w:val="left" w:pos="0"/>
          <w:tab w:val="left" w:pos="720"/>
        </w:tabs>
        <w:spacing w:line="360" w:lineRule="auto"/>
        <w:ind w:right="284"/>
        <w:jc w:val="both"/>
        <w:rPr>
          <w:rFonts w:ascii="Verdana" w:eastAsia="Verdana" w:hAnsi="Verdana" w:cs="Verdana"/>
          <w:b/>
          <w:sz w:val="20"/>
          <w:szCs w:val="20"/>
          <w:u w:val="single"/>
        </w:rPr>
      </w:pPr>
      <w:r>
        <w:rPr>
          <w:rFonts w:ascii="Verdana" w:eastAsia="Verdana" w:hAnsi="Verdana" w:cs="Verdana"/>
          <w:b/>
          <w:sz w:val="20"/>
          <w:szCs w:val="20"/>
          <w:u w:val="single"/>
        </w:rPr>
        <w:t>OS DOCUMENTOS ABAIXO ESTÃO DISTRIBUÍDOS, CONFORME O PARTICIPANTE DA LICITAÇÃO SEJA PESSOA FÍSICA OU PESSOA JURÍDICA</w:t>
      </w:r>
    </w:p>
    <w:p w:rsidR="00112E29" w:rsidRDefault="00112E29">
      <w:pPr>
        <w:widowControl/>
        <w:pBdr>
          <w:top w:val="nil"/>
          <w:left w:val="nil"/>
          <w:bottom w:val="nil"/>
          <w:right w:val="nil"/>
          <w:between w:val="nil"/>
        </w:pBdr>
        <w:tabs>
          <w:tab w:val="left" w:pos="0"/>
          <w:tab w:val="left" w:pos="720"/>
        </w:tabs>
        <w:spacing w:line="360" w:lineRule="auto"/>
        <w:ind w:right="284"/>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 w:val="left" w:pos="72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PARA PESSOA JURÍDICA</w:t>
      </w:r>
    </w:p>
    <w:p w:rsidR="00112E29" w:rsidRDefault="005726C7">
      <w:pPr>
        <w:widowControl/>
        <w:numPr>
          <w:ilvl w:val="1"/>
          <w:numId w:val="3"/>
        </w:numPr>
        <w:pBdr>
          <w:top w:val="nil"/>
          <w:left w:val="nil"/>
          <w:bottom w:val="nil"/>
          <w:right w:val="nil"/>
          <w:between w:val="nil"/>
        </w:pBdr>
        <w:tabs>
          <w:tab w:val="left" w:pos="0"/>
        </w:tabs>
        <w:spacing w:line="360" w:lineRule="auto"/>
        <w:ind w:left="0" w:right="284" w:firstLine="0"/>
        <w:jc w:val="both"/>
        <w:rPr>
          <w:rFonts w:ascii="Verdana" w:eastAsia="Verdana" w:hAnsi="Verdana" w:cs="Verdana"/>
        </w:rPr>
      </w:pPr>
      <w:r>
        <w:rPr>
          <w:rFonts w:ascii="Verdana" w:eastAsia="Verdana" w:hAnsi="Verdana" w:cs="Verdana"/>
          <w:b/>
          <w:sz w:val="20"/>
          <w:szCs w:val="20"/>
        </w:rPr>
        <w:t>Os documentos relativos à Habilitação Jurídica são: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sz w:val="20"/>
          <w:szCs w:val="20"/>
        </w:rPr>
        <w:t xml:space="preserve">a)  No caso de </w:t>
      </w:r>
      <w:r>
        <w:rPr>
          <w:rFonts w:ascii="Verdana" w:eastAsia="Verdana" w:hAnsi="Verdana" w:cs="Verdana"/>
          <w:b/>
          <w:sz w:val="20"/>
          <w:szCs w:val="20"/>
        </w:rPr>
        <w:t>empresário individual</w:t>
      </w:r>
      <w:r>
        <w:rPr>
          <w:rFonts w:ascii="Verdana" w:eastAsia="Verdana" w:hAnsi="Verdana" w:cs="Verdana"/>
          <w:sz w:val="20"/>
          <w:szCs w:val="20"/>
        </w:rPr>
        <w:t>: inscrição no Registro Público de Empresas Mercantis, a cargo da Junta Comercial da respectiva sede;</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sz w:val="20"/>
          <w:szCs w:val="20"/>
        </w:rPr>
        <w:t xml:space="preserve">b) Em caso de </w:t>
      </w:r>
      <w:r>
        <w:rPr>
          <w:rFonts w:ascii="Verdana" w:eastAsia="Verdana" w:hAnsi="Verdana" w:cs="Verdana"/>
          <w:b/>
          <w:sz w:val="20"/>
          <w:szCs w:val="20"/>
        </w:rPr>
        <w:t>Microempreendedor Individual – MEI</w:t>
      </w:r>
      <w:r>
        <w:rPr>
          <w:rFonts w:ascii="Verdana" w:eastAsia="Verdana" w:hAnsi="Verdana" w:cs="Verdana"/>
          <w:sz w:val="20"/>
          <w:szCs w:val="20"/>
        </w:rPr>
        <w:t>: Certificado da Condição de Microempreendedor Individual - CCMEI, cuja aceitação ficará condicionada à verificação da autenticidade no sítio www.portaldoempreendedor.gov.br;</w:t>
      </w:r>
    </w:p>
    <w:p w:rsidR="00112E29" w:rsidRDefault="005726C7">
      <w:pPr>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c) Em caso de </w:t>
      </w:r>
      <w:r>
        <w:rPr>
          <w:rFonts w:ascii="Verdana" w:eastAsia="Verdana" w:hAnsi="Verdana" w:cs="Verdana"/>
          <w:b/>
          <w:sz w:val="20"/>
          <w:szCs w:val="20"/>
        </w:rPr>
        <w:t>Sociedade empresária, sociedade limitada unipessoal – SLU ou sociedade identificada como empresa individual de responsabilidade limitada - EIRELI</w:t>
      </w:r>
      <w:r>
        <w:rPr>
          <w:rFonts w:ascii="Verdana" w:eastAsia="Verdana" w:hAnsi="Verdana" w:cs="Verdana"/>
          <w:sz w:val="20"/>
          <w:szCs w:val="20"/>
        </w:rPr>
        <w:t>: inscrição do ato constitutivo, estatuto ou contrato social no Registro Público de Empresas Mercantis, a cargo da Junta Comercial da respectiva sede, acompanhada de documento comprobatório de seus administradores;</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sz w:val="20"/>
          <w:szCs w:val="20"/>
        </w:rPr>
        <w:t xml:space="preserve">d) Em caso de </w:t>
      </w:r>
      <w:r>
        <w:rPr>
          <w:rFonts w:ascii="Verdana" w:eastAsia="Verdana" w:hAnsi="Verdana" w:cs="Verdana"/>
          <w:b/>
          <w:sz w:val="20"/>
          <w:szCs w:val="20"/>
        </w:rPr>
        <w:t>Filial, sucursal ou agência</w:t>
      </w:r>
      <w:r>
        <w:rPr>
          <w:rFonts w:ascii="Verdana" w:eastAsia="Verdana" w:hAnsi="Verdana" w:cs="Verdana"/>
          <w:sz w:val="20"/>
          <w:szCs w:val="20"/>
        </w:rPr>
        <w:t xml:space="preserve"> </w:t>
      </w:r>
      <w:r>
        <w:rPr>
          <w:rFonts w:ascii="Verdana" w:eastAsia="Verdana" w:hAnsi="Verdana" w:cs="Verdana"/>
          <w:b/>
          <w:sz w:val="20"/>
          <w:szCs w:val="20"/>
        </w:rPr>
        <w:t>de sociedade simples ou empresária</w:t>
      </w:r>
      <w:r>
        <w:rPr>
          <w:rFonts w:ascii="Verdana" w:eastAsia="Verdana" w:hAnsi="Verdana" w:cs="Verdana"/>
          <w:sz w:val="20"/>
          <w:szCs w:val="20"/>
        </w:rPr>
        <w:t xml:space="preserve"> - inscrição do ato constitutivo da filial, sucursal ou agência da sociedade simples ou </w:t>
      </w:r>
      <w:r>
        <w:rPr>
          <w:rFonts w:ascii="Verdana" w:eastAsia="Verdana" w:hAnsi="Verdana" w:cs="Verdana"/>
          <w:sz w:val="20"/>
          <w:szCs w:val="20"/>
        </w:rPr>
        <w:lastRenderedPageBreak/>
        <w:t>empresária, respectivamente, no Registro Civil das Pessoas Jurídicas ou no Registro Público de Empresas Mercantis onde tem sede a matriz</w:t>
      </w:r>
      <w:proofErr w:type="gramStart"/>
      <w:r>
        <w:rPr>
          <w:rFonts w:ascii="Verdana" w:eastAsia="Verdana" w:hAnsi="Verdana" w:cs="Verdana"/>
          <w:sz w:val="20"/>
          <w:szCs w:val="20"/>
        </w:rPr>
        <w:t xml:space="preserve">  ;</w:t>
      </w:r>
      <w:proofErr w:type="gramEnd"/>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sz w:val="20"/>
          <w:szCs w:val="20"/>
        </w:rPr>
        <w:t xml:space="preserve">e) Em caso de </w:t>
      </w:r>
      <w:r>
        <w:rPr>
          <w:rFonts w:ascii="Verdana" w:eastAsia="Verdana" w:hAnsi="Verdana" w:cs="Verdana"/>
          <w:b/>
          <w:sz w:val="20"/>
          <w:szCs w:val="20"/>
        </w:rPr>
        <w:t>Sociedade simples</w:t>
      </w:r>
      <w:r>
        <w:rPr>
          <w:rFonts w:ascii="Verdana" w:eastAsia="Verdana" w:hAnsi="Verdana" w:cs="Verdana"/>
          <w:sz w:val="20"/>
          <w:szCs w:val="20"/>
        </w:rPr>
        <w:t>: inscrição do ato constitutivo no Registro Civil das Pessoas Jurídicas do local de sua sede, acompanhada de prova da indicação dos seus administradores;</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f) </w:t>
      </w:r>
      <w:r>
        <w:rPr>
          <w:rFonts w:ascii="Verdana" w:eastAsia="Verdana" w:hAnsi="Verdana" w:cs="Verdana"/>
          <w:b/>
          <w:sz w:val="20"/>
          <w:szCs w:val="20"/>
        </w:rPr>
        <w:t>Sociedade empresária estrangeira com atuação permanente no País</w:t>
      </w:r>
      <w:r>
        <w:rPr>
          <w:rFonts w:ascii="Verdana" w:eastAsia="Verdana" w:hAnsi="Verdana" w:cs="Verdana"/>
          <w:sz w:val="20"/>
          <w:szCs w:val="20"/>
        </w:rPr>
        <w:t xml:space="preserve">: decreto de autorização para funcionamento no Brasil; </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g) Sociedade cooperativa: ata de fundação e estatuto social, com a ata da assembleia que o aprovou, devidamente arquivado na Junta Comercial ou inscrito no Registro Civil das Pessoas Jurídicas da respectiva sede, além do registro de que trata o art. 107 da Lei nº 5.764, de 1971.</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10.3.1. Os documentos apresentados deverão estar acompanhados de todas as alterações ou da consolidação respectiva.</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u w:val="single"/>
        </w:rPr>
      </w:pPr>
      <w:r>
        <w:rPr>
          <w:rFonts w:ascii="Verdana" w:eastAsia="Verdana" w:hAnsi="Verdana" w:cs="Verdana"/>
          <w:sz w:val="20"/>
          <w:szCs w:val="20"/>
        </w:rPr>
        <w:t>10.4</w:t>
      </w:r>
      <w:r>
        <w:rPr>
          <w:rFonts w:ascii="Verdana" w:eastAsia="Verdana" w:hAnsi="Verdana" w:cs="Verdana"/>
          <w:b/>
          <w:sz w:val="20"/>
          <w:szCs w:val="20"/>
        </w:rPr>
        <w:t>.</w:t>
      </w:r>
      <w:r>
        <w:rPr>
          <w:rFonts w:ascii="Verdana" w:eastAsia="Verdana" w:hAnsi="Verdana" w:cs="Verdana"/>
          <w:sz w:val="20"/>
          <w:szCs w:val="20"/>
        </w:rPr>
        <w:t xml:space="preserve"> </w:t>
      </w:r>
      <w:r>
        <w:rPr>
          <w:rFonts w:ascii="Verdana" w:eastAsia="Verdana" w:hAnsi="Verdana" w:cs="Verdana"/>
          <w:b/>
          <w:sz w:val="20"/>
          <w:szCs w:val="20"/>
        </w:rPr>
        <w:t>Os documentos relativos à Regularidade Fiscal, Social e Trabalhista são:</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rPr>
        <w:t>a) Comprovante de Inscrição e de Situação Cadastral no CNPJ;</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rPr>
        <w:t>b) Comprovante de inscrição no Cadastro de contribuinte municipal, relativo ao domicílio ou sede do licitante, pertinente ao seu ramo de atividade e compatível com o objeto contratual;</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rPr>
        <w:t>c) Prova de regularidade relativa com a Fazenda Municipal do domicílio ou sede do fornecedor, relativo à atividade em cujo exercício contrata ou concorre;</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rPr>
        <w:t>d) Prova de regularidade relativa Fundo de Garantia do Tempo de Serviço (FGTS);</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rPr>
        <w:t>e)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rPr>
        <w:t>f) Caso o fornecedor seja considerado isento dos tributos Estaduais relacionados ao objeto contratual, deverá comprovar tal condição mediante a apresentação de declaração da Fazenda respectiva do seu domicílio ou sede, ou outra equivalente, na forma da lei.</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g)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112E29" w:rsidRDefault="00112E29">
      <w:pPr>
        <w:widowControl/>
        <w:pBdr>
          <w:top w:val="nil"/>
          <w:left w:val="nil"/>
          <w:bottom w:val="nil"/>
          <w:right w:val="nil"/>
          <w:between w:val="nil"/>
        </w:pBdr>
        <w:spacing w:line="360" w:lineRule="auto"/>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10.4.1.Em relação às </w:t>
      </w:r>
      <w:r>
        <w:rPr>
          <w:rFonts w:ascii="Verdana" w:eastAsia="Verdana" w:hAnsi="Verdana" w:cs="Verdana"/>
          <w:b/>
          <w:sz w:val="20"/>
          <w:szCs w:val="20"/>
        </w:rPr>
        <w:t>fornecedoras cooperativas</w:t>
      </w:r>
      <w:r>
        <w:rPr>
          <w:rFonts w:ascii="Verdana" w:eastAsia="Verdana" w:hAnsi="Verdana" w:cs="Verdana"/>
          <w:sz w:val="20"/>
          <w:szCs w:val="20"/>
        </w:rPr>
        <w:t xml:space="preserve"> será, ainda, exigida a seguinte documentação complementar:</w:t>
      </w:r>
    </w:p>
    <w:p w:rsidR="00112E29" w:rsidRDefault="005726C7">
      <w:pPr>
        <w:widowControl/>
        <w:pBdr>
          <w:top w:val="nil"/>
          <w:left w:val="nil"/>
          <w:bottom w:val="nil"/>
          <w:right w:val="nil"/>
          <w:between w:val="nil"/>
        </w:pBdr>
        <w:tabs>
          <w:tab w:val="left" w:pos="0"/>
          <w:tab w:val="left" w:pos="1440"/>
        </w:tabs>
        <w:spacing w:line="360" w:lineRule="auto"/>
        <w:jc w:val="both"/>
        <w:rPr>
          <w:rFonts w:ascii="Verdana" w:eastAsia="Verdana" w:hAnsi="Verdana" w:cs="Verdana"/>
          <w:sz w:val="20"/>
          <w:szCs w:val="20"/>
        </w:rPr>
      </w:pPr>
      <w:r>
        <w:rPr>
          <w:rFonts w:ascii="Verdana" w:eastAsia="Verdana" w:hAnsi="Verdana" w:cs="Verdana"/>
          <w:sz w:val="20"/>
          <w:szCs w:val="20"/>
        </w:rPr>
        <w:lastRenderedPageBreak/>
        <w:t xml:space="preserve">a) 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Pr>
          <w:rFonts w:ascii="Verdana" w:eastAsia="Verdana" w:hAnsi="Verdana" w:cs="Verdana"/>
          <w:sz w:val="20"/>
          <w:szCs w:val="20"/>
        </w:rPr>
        <w:t>arts</w:t>
      </w:r>
      <w:proofErr w:type="spellEnd"/>
      <w:r>
        <w:rPr>
          <w:rFonts w:ascii="Verdana" w:eastAsia="Verdana" w:hAnsi="Verdana" w:cs="Verdana"/>
          <w:sz w:val="20"/>
          <w:szCs w:val="20"/>
        </w:rPr>
        <w:t>. 4º, inciso XI, 21, inciso I e 42, §§2º a 6º da Lei n. 5.764 de 1971;</w:t>
      </w:r>
    </w:p>
    <w:p w:rsidR="00112E29" w:rsidRDefault="005726C7">
      <w:pPr>
        <w:widowControl/>
        <w:pBdr>
          <w:top w:val="nil"/>
          <w:left w:val="nil"/>
          <w:bottom w:val="nil"/>
          <w:right w:val="nil"/>
          <w:between w:val="nil"/>
        </w:pBdr>
        <w:tabs>
          <w:tab w:val="left" w:pos="0"/>
          <w:tab w:val="left" w:pos="1440"/>
        </w:tabs>
        <w:spacing w:line="360" w:lineRule="auto"/>
        <w:jc w:val="both"/>
        <w:rPr>
          <w:rFonts w:ascii="Verdana" w:eastAsia="Verdana" w:hAnsi="Verdana" w:cs="Verdana"/>
          <w:sz w:val="20"/>
          <w:szCs w:val="20"/>
        </w:rPr>
      </w:pPr>
      <w:r>
        <w:rPr>
          <w:rFonts w:ascii="Verdana" w:eastAsia="Verdana" w:hAnsi="Verdana" w:cs="Verdana"/>
          <w:sz w:val="20"/>
          <w:szCs w:val="20"/>
        </w:rPr>
        <w:t>b) A declaração de regularidade de situação do contribuinte individual – DRSCI, para cada um dos cooperados indicados;</w:t>
      </w:r>
    </w:p>
    <w:p w:rsidR="00112E29" w:rsidRDefault="005726C7">
      <w:pPr>
        <w:widowControl/>
        <w:pBdr>
          <w:top w:val="nil"/>
          <w:left w:val="nil"/>
          <w:bottom w:val="nil"/>
          <w:right w:val="nil"/>
          <w:between w:val="nil"/>
        </w:pBdr>
        <w:tabs>
          <w:tab w:val="left" w:pos="0"/>
          <w:tab w:val="left" w:pos="1440"/>
        </w:tabs>
        <w:spacing w:line="360" w:lineRule="auto"/>
        <w:jc w:val="both"/>
        <w:rPr>
          <w:rFonts w:ascii="Verdana" w:eastAsia="Verdana" w:hAnsi="Verdana" w:cs="Verdana"/>
          <w:sz w:val="20"/>
          <w:szCs w:val="20"/>
        </w:rPr>
      </w:pPr>
      <w:r>
        <w:rPr>
          <w:rFonts w:ascii="Verdana" w:eastAsia="Verdana" w:hAnsi="Verdana" w:cs="Verdana"/>
          <w:sz w:val="20"/>
          <w:szCs w:val="20"/>
        </w:rPr>
        <w:t>c) A comprovação do capital social proporcional ao número de cooperados necessários à prestação do serviço;</w:t>
      </w:r>
    </w:p>
    <w:p w:rsidR="00112E29" w:rsidRDefault="005726C7">
      <w:pPr>
        <w:widowControl/>
        <w:pBdr>
          <w:top w:val="nil"/>
          <w:left w:val="nil"/>
          <w:bottom w:val="nil"/>
          <w:right w:val="nil"/>
          <w:between w:val="nil"/>
        </w:pBdr>
        <w:tabs>
          <w:tab w:val="left" w:pos="0"/>
          <w:tab w:val="left" w:pos="1440"/>
        </w:tabs>
        <w:spacing w:line="360" w:lineRule="auto"/>
        <w:jc w:val="both"/>
        <w:rPr>
          <w:rFonts w:ascii="Verdana" w:eastAsia="Verdana" w:hAnsi="Verdana" w:cs="Verdana"/>
          <w:sz w:val="20"/>
          <w:szCs w:val="20"/>
        </w:rPr>
      </w:pPr>
      <w:r>
        <w:rPr>
          <w:rFonts w:ascii="Verdana" w:eastAsia="Verdana" w:hAnsi="Verdana" w:cs="Verdana"/>
          <w:sz w:val="20"/>
          <w:szCs w:val="20"/>
        </w:rPr>
        <w:t>d) O registro previsto na Lei n. 5.764/71, art. 107;</w:t>
      </w:r>
    </w:p>
    <w:p w:rsidR="00112E29" w:rsidRDefault="005726C7">
      <w:pPr>
        <w:widowControl/>
        <w:pBdr>
          <w:top w:val="nil"/>
          <w:left w:val="nil"/>
          <w:bottom w:val="nil"/>
          <w:right w:val="nil"/>
          <w:between w:val="nil"/>
        </w:pBdr>
        <w:tabs>
          <w:tab w:val="left" w:pos="0"/>
          <w:tab w:val="left" w:pos="1440"/>
        </w:tabs>
        <w:spacing w:line="360" w:lineRule="auto"/>
        <w:jc w:val="both"/>
        <w:rPr>
          <w:rFonts w:ascii="Verdana" w:eastAsia="Verdana" w:hAnsi="Verdana" w:cs="Verdana"/>
          <w:sz w:val="20"/>
          <w:szCs w:val="20"/>
        </w:rPr>
      </w:pPr>
      <w:r>
        <w:rPr>
          <w:rFonts w:ascii="Verdana" w:eastAsia="Verdana" w:hAnsi="Verdana" w:cs="Verdana"/>
          <w:sz w:val="20"/>
          <w:szCs w:val="20"/>
        </w:rPr>
        <w:t>e) A comprovação de integração das respectivas quotas-partes por parte dos cooperados que executarão o contrato; e</w:t>
      </w:r>
    </w:p>
    <w:p w:rsidR="00112E29" w:rsidRDefault="005726C7">
      <w:pPr>
        <w:widowControl/>
        <w:pBdr>
          <w:top w:val="nil"/>
          <w:left w:val="nil"/>
          <w:bottom w:val="nil"/>
          <w:right w:val="nil"/>
          <w:between w:val="nil"/>
        </w:pBdr>
        <w:tabs>
          <w:tab w:val="left" w:pos="0"/>
          <w:tab w:val="left" w:pos="1440"/>
        </w:tabs>
        <w:spacing w:line="360" w:lineRule="auto"/>
        <w:jc w:val="both"/>
        <w:rPr>
          <w:rFonts w:ascii="Verdana" w:eastAsia="Verdana" w:hAnsi="Verdana" w:cs="Verdana"/>
          <w:sz w:val="20"/>
          <w:szCs w:val="20"/>
        </w:rPr>
      </w:pPr>
      <w:r>
        <w:rPr>
          <w:rFonts w:ascii="Verdana" w:eastAsia="Verdana" w:hAnsi="Verdana" w:cs="Verdana"/>
          <w:sz w:val="20"/>
          <w:szCs w:val="20"/>
        </w:rPr>
        <w:t xml:space="preserve">f)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w:t>
      </w:r>
      <w:proofErr w:type="spellStart"/>
      <w:r>
        <w:rPr>
          <w:rFonts w:ascii="Verdana" w:eastAsia="Verdana" w:hAnsi="Verdana" w:cs="Verdana"/>
          <w:sz w:val="20"/>
          <w:szCs w:val="20"/>
        </w:rPr>
        <w:t>assembléias</w:t>
      </w:r>
      <w:proofErr w:type="spellEnd"/>
      <w:r>
        <w:rPr>
          <w:rFonts w:ascii="Verdana" w:eastAsia="Verdana" w:hAnsi="Verdana" w:cs="Verdana"/>
          <w:sz w:val="20"/>
          <w:szCs w:val="20"/>
        </w:rPr>
        <w:t xml:space="preserve"> gerais extraordinárias; e) três registros de presença dos cooperados que executarão o contrato em assembleias gerais ou nas reuniões seccionais; e d)  Ata da sessão que os cooperados autorizaram a cooperativa a contratar o objeto da dispensa;</w:t>
      </w:r>
    </w:p>
    <w:p w:rsidR="00112E29" w:rsidRDefault="005726C7">
      <w:pPr>
        <w:widowControl/>
        <w:pBdr>
          <w:top w:val="nil"/>
          <w:left w:val="nil"/>
          <w:bottom w:val="nil"/>
          <w:right w:val="nil"/>
          <w:between w:val="nil"/>
        </w:pBdr>
        <w:tabs>
          <w:tab w:val="left" w:pos="0"/>
          <w:tab w:val="left" w:pos="1440"/>
        </w:tabs>
        <w:spacing w:line="360" w:lineRule="auto"/>
        <w:jc w:val="both"/>
        <w:rPr>
          <w:rFonts w:ascii="Verdana" w:eastAsia="Verdana" w:hAnsi="Verdana" w:cs="Verdana"/>
          <w:sz w:val="20"/>
          <w:szCs w:val="20"/>
        </w:rPr>
      </w:pPr>
      <w:r>
        <w:rPr>
          <w:rFonts w:ascii="Verdana" w:eastAsia="Verdana" w:hAnsi="Verdana" w:cs="Verdana"/>
          <w:sz w:val="20"/>
          <w:szCs w:val="20"/>
        </w:rPr>
        <w:t>e) A última auditoria contábil-financeira da cooperativa, conforme dispõe o art. 112 da Lei n. 5.764/71 ou uma declaração, sob as penas da lei, de que tal auditoria não foi exigida pelo órgão fiscalizador.</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PARA PESSOA FÍSICA</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10.7. Para o licitante </w:t>
      </w:r>
      <w:r>
        <w:rPr>
          <w:rFonts w:ascii="Verdana" w:eastAsia="Verdana" w:hAnsi="Verdana" w:cs="Verdana"/>
          <w:b/>
          <w:sz w:val="20"/>
          <w:szCs w:val="20"/>
        </w:rPr>
        <w:t>Pessoa Física</w:t>
      </w:r>
      <w:r>
        <w:rPr>
          <w:rFonts w:ascii="Verdana" w:eastAsia="Verdana" w:hAnsi="Verdana" w:cs="Verdana"/>
          <w:sz w:val="20"/>
          <w:szCs w:val="20"/>
        </w:rPr>
        <w:t xml:space="preserve"> serão exigidos os seguintes documentos:</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rPr>
        <w:t>a)</w:t>
      </w:r>
      <w:r>
        <w:rPr>
          <w:rFonts w:ascii="Verdana" w:eastAsia="Verdana" w:hAnsi="Verdana" w:cs="Verdana"/>
          <w:sz w:val="20"/>
          <w:szCs w:val="20"/>
          <w:highlight w:val="white"/>
        </w:rPr>
        <w:t xml:space="preserve"> </w:t>
      </w:r>
      <w:r>
        <w:rPr>
          <w:rFonts w:ascii="Verdana" w:eastAsia="Verdana" w:hAnsi="Verdana" w:cs="Verdana"/>
          <w:sz w:val="20"/>
          <w:szCs w:val="20"/>
        </w:rPr>
        <w:t>cédula de identidade (RG) ou documento equivalente que, por força de lei, tenha validade para fins de identificação em todo o território nacional; </w:t>
      </w:r>
    </w:p>
    <w:p w:rsidR="00112E29" w:rsidRDefault="005726C7">
      <w:pPr>
        <w:widowControl/>
        <w:tabs>
          <w:tab w:val="left" w:pos="0"/>
          <w:tab w:val="left" w:pos="1440"/>
        </w:tabs>
        <w:spacing w:line="360" w:lineRule="auto"/>
        <w:ind w:right="280"/>
        <w:jc w:val="both"/>
        <w:rPr>
          <w:rFonts w:ascii="Verdana" w:eastAsia="Verdana" w:hAnsi="Verdana" w:cs="Verdana"/>
          <w:sz w:val="20"/>
          <w:szCs w:val="20"/>
        </w:rPr>
      </w:pPr>
      <w:r>
        <w:rPr>
          <w:rFonts w:ascii="Verdana" w:eastAsia="Verdana" w:hAnsi="Verdana" w:cs="Verdana"/>
          <w:sz w:val="20"/>
          <w:szCs w:val="20"/>
        </w:rPr>
        <w:t>b) Prova de inscrição no Cadastro Nacional de Pessoas Físicas;</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highlight w:val="white"/>
        </w:rPr>
      </w:pPr>
      <w:r>
        <w:rPr>
          <w:rFonts w:ascii="Verdana" w:eastAsia="Verdana" w:hAnsi="Verdana" w:cs="Verdana"/>
          <w:sz w:val="20"/>
          <w:szCs w:val="20"/>
          <w:highlight w:val="white"/>
        </w:rPr>
        <w:t>c) prova de regularidade perante a Fazenda federal e municipal do domicílio ou sede do licitante, ou outra equivalente, na forma da lei;</w:t>
      </w:r>
    </w:p>
    <w:p w:rsidR="00112E29" w:rsidRDefault="005726C7">
      <w:pPr>
        <w:widowControl/>
        <w:pBdr>
          <w:top w:val="nil"/>
          <w:left w:val="nil"/>
          <w:bottom w:val="nil"/>
          <w:right w:val="nil"/>
          <w:between w:val="nil"/>
        </w:pBdr>
        <w:tabs>
          <w:tab w:val="left" w:pos="0"/>
          <w:tab w:val="left" w:pos="1440"/>
        </w:tabs>
        <w:spacing w:line="360" w:lineRule="auto"/>
        <w:ind w:right="284"/>
        <w:jc w:val="both"/>
        <w:rPr>
          <w:rFonts w:ascii="Verdana" w:eastAsia="Verdana" w:hAnsi="Verdana" w:cs="Verdana"/>
          <w:sz w:val="20"/>
          <w:szCs w:val="20"/>
        </w:rPr>
      </w:pPr>
      <w:r>
        <w:rPr>
          <w:rFonts w:ascii="Verdana" w:eastAsia="Verdana" w:hAnsi="Verdana" w:cs="Verdana"/>
          <w:sz w:val="20"/>
          <w:szCs w:val="20"/>
          <w:highlight w:val="white"/>
        </w:rPr>
        <w:t>d) prova de regularidade perante a Seguridade Social e trabalhista.</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11. OBRIGAÇÕES DA CONTRATADA:</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11.1. A Contratada deve cumprir todas as obrigações constantes no Edital, seus anexos e sua proposta, assumindo como exclusivamente seus os riscos e as despesas decorrentes da boa e perfeita execução do objeto.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11.2. Antes do início da execução contratual, designar formalmente (mediante comunicação escrita) preposto responsável por representar a contratada durante esse período;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lastRenderedPageBreak/>
        <w:t>11.3. Efetuar a entrega dos bens em perfeitas condições, no prazo e local indicados pela Administração, em estrita observância das especificações do Edital e da proposta, acompanhado da respectiva nota fiscal;</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11.4. Responsabilizar-se pelos vícios e danos decorrentes do objeto, de acordo com os artigos 12, 13 e 17 a 27, do Código de Defesa do Consumidor (Lei nº 8.078, de 1990);</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bookmarkStart w:id="2" w:name="_heading=h.30j0zll" w:colFirst="0" w:colLast="0"/>
      <w:bookmarkEnd w:id="2"/>
      <w:r>
        <w:rPr>
          <w:rFonts w:ascii="Verdana" w:eastAsia="Verdana" w:hAnsi="Verdana" w:cs="Verdana"/>
          <w:sz w:val="20"/>
          <w:szCs w:val="20"/>
        </w:rPr>
        <w:t>11.5. Reparar, corrigir, remover, reconstruir ou substituir, às suas expensas, no total ou em parte, no prazo máximo de 5 (cinco) dias, a contar do recebimento da notificação do contratante, o objeto do contrato em que se verifiquem vícios, defeitos ou incorreções resultantes da execução ou de materiais empregados.</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11.6. Atender prontamente a quaisquer exigências da Administração, inerentes ao objeto da presente licitação.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11.7. Comunicar à Administração, no prazo máximo de 24 (vinte e quatro) horas que antecede a data da entrega, os motivos que impossibilitem o cumprimento do prazo previsto, com a devida comprovação;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11.8. Responsabilizar-se pelas despesas dos tributos, encargos trabalhistas, previdenciários, fiscais, comerciais, taxas, fretes, seguros, deslocamento de pessoal, prestação de garantia e quaisquer outras que incidam ou venham a incidir na execução do contrato.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11.9. Manter, durante toda a execução do contrato, em compatibilidade com as obrigações assumidas, todas as condições de habilitação e qualificação exigidas na licitação ou na contratação.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11.10. Aceitar os acréscimos ou supressões julgados necessários pelo Contratante, nos limites estabelecidos na Lei nº. 14.133/2021.</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11.11. Não transferir a terceiros, por qualquer forma, nem mesmo parcialmente, as obrigações assumidas, nem subcontratar qualquer das prestações a que está obrigada.</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11.12 Apresentar declaração de não incursão nas vedações da Resolução CNJ nº 7/2005.</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11.13 Emitir os crachás de acordo com os modelos encaminhados pelo Tribunal, mantendo a qualidade, dimensões e demais requisitos exigidos, em conformidade com a amostra apresentada por ocasião do certame licitatório;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11.14 Incluir nos crachás os dados pessoais e funcionais fornecidos pelo Regional, atentando para as obrigações previstas mencionadas no item 17 deste Termo de Referência (Lei Geral de Proteção de Dados);</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11.15 Substituir no prazo de até 03 (três) dias úteis os crachás ou acessórios que forem fornecidos com erros, defeitos ou em desacordo com a amostra apresentada por ocasião do certame licitatório.</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12. OBRIGAÇÕES DO CONTRATANTE:</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12.1.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w:t>
      </w:r>
      <w:hyperlink r:id="rId24">
        <w:r>
          <w:rPr>
            <w:rFonts w:ascii="Verdana" w:eastAsia="Verdana" w:hAnsi="Verdana" w:cs="Verdana"/>
            <w:i/>
            <w:sz w:val="20"/>
            <w:szCs w:val="20"/>
            <w:u w:val="single"/>
          </w:rPr>
          <w:t>https://www.portaltransparencia.gov.br/sancoes/cnep</w:t>
        </w:r>
      </w:hyperlink>
      <w:r>
        <w:rPr>
          <w:rFonts w:ascii="Verdana" w:eastAsia="Verdana" w:hAnsi="Verdana" w:cs="Verdana"/>
          <w:sz w:val="20"/>
          <w:szCs w:val="20"/>
        </w:rPr>
        <w:t>).</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12.2 Receber o objeto no prazo e condições estabelecidas neste termo e seus anexos;</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12.3. Verificar minuciosamente, no prazo fixado, a conformidade dos bens recebidos provisoriamente com as especificações constantes neste termo e da proposta, para fins de aceitação e recebimento definitivos;</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12.4. Acompanhar e fiscalizar o cumprimento das obrigações da Contratada, através de servidor especialmente designado;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12.5. Efetuar o pagamento à Contratada no valor correspondente ao fornecimento do objeto, no prazo e forma estabelecidos no Edital e seus anexos;</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12.6.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13.</w:t>
      </w:r>
      <w:r>
        <w:rPr>
          <w:rFonts w:ascii="Verdana" w:eastAsia="Verdana" w:hAnsi="Verdana" w:cs="Verdana"/>
          <w:b/>
          <w:sz w:val="20"/>
          <w:szCs w:val="20"/>
        </w:rPr>
        <w:t xml:space="preserve"> DA ALTERAÇÃO SUBJETIVA:</w:t>
      </w:r>
      <w:r>
        <w:rPr>
          <w:rFonts w:ascii="Verdana" w:eastAsia="Verdana" w:hAnsi="Verdana" w:cs="Verdana"/>
          <w:sz w:val="20"/>
          <w:szCs w:val="20"/>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highlight w:val="red"/>
        </w:rPr>
      </w:pPr>
    </w:p>
    <w:p w:rsidR="00112E29" w:rsidRDefault="005726C7">
      <w:pPr>
        <w:widowControl/>
        <w:pBdr>
          <w:top w:val="nil"/>
          <w:left w:val="nil"/>
          <w:bottom w:val="nil"/>
          <w:right w:val="nil"/>
          <w:between w:val="nil"/>
        </w:pBdr>
        <w:spacing w:line="360" w:lineRule="auto"/>
        <w:jc w:val="both"/>
        <w:rPr>
          <w:rFonts w:ascii="Verdana" w:eastAsia="Verdana" w:hAnsi="Verdana" w:cs="Verdana"/>
          <w:b/>
          <w:sz w:val="20"/>
          <w:szCs w:val="20"/>
        </w:rPr>
      </w:pPr>
      <w:r>
        <w:rPr>
          <w:rFonts w:ascii="Verdana" w:eastAsia="Verdana" w:hAnsi="Verdana" w:cs="Verdana"/>
          <w:sz w:val="20"/>
          <w:szCs w:val="20"/>
        </w:rPr>
        <w:t xml:space="preserve">14. </w:t>
      </w:r>
      <w:r>
        <w:rPr>
          <w:rFonts w:ascii="Verdana" w:eastAsia="Verdana" w:hAnsi="Verdana" w:cs="Verdana"/>
          <w:b/>
          <w:sz w:val="20"/>
          <w:szCs w:val="20"/>
        </w:rPr>
        <w:t xml:space="preserve"> LIQUIDAÇÃO E PAGAMENTO</w:t>
      </w:r>
      <w:r>
        <w:rPr>
          <w:rFonts w:ascii="Verdana" w:eastAsia="Verdana" w:hAnsi="Verdana" w:cs="Verdana"/>
          <w:sz w:val="20"/>
          <w:szCs w:val="20"/>
        </w:rPr>
        <w:t xml:space="preserve">       </w:t>
      </w:r>
      <w:r>
        <w:rPr>
          <w:rFonts w:ascii="Verdana" w:eastAsia="Verdana" w:hAnsi="Verdana" w:cs="Verdana"/>
          <w:sz w:val="20"/>
          <w:szCs w:val="20"/>
        </w:rPr>
        <w:tab/>
      </w:r>
      <w:r>
        <w:rPr>
          <w:rFonts w:ascii="Verdana" w:eastAsia="Verdana" w:hAnsi="Verdana" w:cs="Verdana"/>
          <w:sz w:val="20"/>
          <w:szCs w:val="20"/>
        </w:rPr>
        <w:tab/>
        <w:t xml:space="preserve">                                                                                                            </w:t>
      </w:r>
      <w:r>
        <w:rPr>
          <w:rFonts w:ascii="Verdana" w:eastAsia="Verdana" w:hAnsi="Verdana" w:cs="Verdana"/>
          <w:b/>
          <w:sz w:val="20"/>
          <w:szCs w:val="20"/>
        </w:rPr>
        <w:t>Liquidação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14.1.</w:t>
      </w:r>
      <w:r>
        <w:rPr>
          <w:rFonts w:ascii="Verdana" w:eastAsia="Verdana" w:hAnsi="Verdana" w:cs="Verdana"/>
          <w:b/>
          <w:sz w:val="20"/>
          <w:szCs w:val="20"/>
        </w:rPr>
        <w:t xml:space="preserve"> </w:t>
      </w:r>
      <w:r>
        <w:rPr>
          <w:rFonts w:ascii="Verdana" w:eastAsia="Verdana" w:hAnsi="Verdana" w:cs="Verdana"/>
          <w:sz w:val="20"/>
          <w:szCs w:val="20"/>
        </w:rPr>
        <w:t xml:space="preserve">Recebida a Nota Fiscal ou documento de cobrança equivalente, correrá o prazo de dez dias úteis para fins de liquidação, na forma desta seção, prorrogáveis por igual período, nos termos do </w:t>
      </w:r>
      <w:hyperlink r:id="rId25" w:anchor="art7%C2%A72">
        <w:r>
          <w:rPr>
            <w:rFonts w:ascii="Verdana" w:eastAsia="Verdana" w:hAnsi="Verdana" w:cs="Verdana"/>
            <w:sz w:val="20"/>
            <w:szCs w:val="20"/>
            <w:u w:val="single"/>
          </w:rPr>
          <w:t>art. 7º, §2º da Instrução Normativa SEGES/ME nº 77/2022</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ind w:firstLine="720"/>
        <w:jc w:val="both"/>
        <w:rPr>
          <w:rFonts w:ascii="Verdana" w:eastAsia="Verdana" w:hAnsi="Verdana" w:cs="Verdana"/>
          <w:sz w:val="20"/>
          <w:szCs w:val="20"/>
        </w:rPr>
      </w:pPr>
      <w:r>
        <w:rPr>
          <w:rFonts w:ascii="Verdana" w:eastAsia="Verdana" w:hAnsi="Verdana" w:cs="Verdana"/>
          <w:sz w:val="20"/>
          <w:szCs w:val="20"/>
        </w:rPr>
        <w:lastRenderedPageBreak/>
        <w:t xml:space="preserve">14.1.1. O prazo de que trata o item anterior será reduzido à metade, mantendo-se a possibilidade de prorrogação, no caso de contratações decorrentes de despesas cujos valores não ultrapassem o limite de que trata o </w:t>
      </w:r>
      <w:hyperlink r:id="rId26" w:anchor="art75">
        <w:r>
          <w:rPr>
            <w:rFonts w:ascii="Verdana" w:eastAsia="Verdana" w:hAnsi="Verdana" w:cs="Verdana"/>
            <w:sz w:val="20"/>
            <w:szCs w:val="20"/>
            <w:u w:val="single"/>
          </w:rPr>
          <w:t>inciso II do art. 75 da Lei nº 14.133, de 2021</w:t>
        </w:r>
      </w:hyperlink>
      <w:r>
        <w:rPr>
          <w:rFonts w:ascii="Verdana" w:eastAsia="Verdana" w:hAnsi="Verdana" w:cs="Verdana"/>
          <w:sz w:val="20"/>
          <w:szCs w:val="20"/>
        </w:rPr>
        <w:t>.</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14.2. Para fins de liquidação, o setor competente deverá verificar se a nota fiscal ou instrumento de cobrança equivalente apresentado expressa os elementos necessários e essenciais do documento, tais como: </w:t>
      </w:r>
    </w:p>
    <w:p w:rsidR="00112E29" w:rsidRDefault="005726C7">
      <w:pPr>
        <w:widowControl/>
        <w:numPr>
          <w:ilvl w:val="0"/>
          <w:numId w:val="2"/>
        </w:numPr>
        <w:spacing w:line="360" w:lineRule="auto"/>
        <w:ind w:left="0" w:firstLine="0"/>
        <w:jc w:val="both"/>
        <w:rPr>
          <w:rFonts w:ascii="Verdana" w:eastAsia="Verdana" w:hAnsi="Verdana" w:cs="Verdana"/>
          <w:sz w:val="20"/>
          <w:szCs w:val="20"/>
        </w:rPr>
      </w:pPr>
      <w:proofErr w:type="gramStart"/>
      <w:r>
        <w:rPr>
          <w:rFonts w:ascii="Verdana" w:eastAsia="Verdana" w:hAnsi="Verdana" w:cs="Verdana"/>
          <w:sz w:val="20"/>
          <w:szCs w:val="20"/>
        </w:rPr>
        <w:t>a</w:t>
      </w:r>
      <w:proofErr w:type="gramEnd"/>
      <w:r>
        <w:rPr>
          <w:rFonts w:ascii="Verdana" w:eastAsia="Verdana" w:hAnsi="Verdana" w:cs="Verdana"/>
          <w:sz w:val="20"/>
          <w:szCs w:val="20"/>
        </w:rPr>
        <w:t xml:space="preserve"> data da emissão; </w:t>
      </w:r>
    </w:p>
    <w:p w:rsidR="00112E29" w:rsidRDefault="005726C7">
      <w:pPr>
        <w:widowControl/>
        <w:numPr>
          <w:ilvl w:val="0"/>
          <w:numId w:val="2"/>
        </w:numPr>
        <w:spacing w:line="360" w:lineRule="auto"/>
        <w:ind w:left="0" w:firstLine="0"/>
        <w:jc w:val="both"/>
        <w:rPr>
          <w:rFonts w:ascii="Verdana" w:eastAsia="Verdana" w:hAnsi="Verdana" w:cs="Verdana"/>
          <w:sz w:val="20"/>
          <w:szCs w:val="20"/>
        </w:rPr>
      </w:pPr>
      <w:proofErr w:type="gramStart"/>
      <w:r>
        <w:rPr>
          <w:rFonts w:ascii="Verdana" w:eastAsia="Verdana" w:hAnsi="Verdana" w:cs="Verdana"/>
          <w:sz w:val="20"/>
          <w:szCs w:val="20"/>
        </w:rPr>
        <w:t>os</w:t>
      </w:r>
      <w:proofErr w:type="gramEnd"/>
      <w:r>
        <w:rPr>
          <w:rFonts w:ascii="Verdana" w:eastAsia="Verdana" w:hAnsi="Verdana" w:cs="Verdana"/>
          <w:sz w:val="20"/>
          <w:szCs w:val="20"/>
        </w:rPr>
        <w:t xml:space="preserve"> dados do contrato e do órgão contratante; </w:t>
      </w:r>
    </w:p>
    <w:p w:rsidR="00112E29" w:rsidRDefault="005726C7">
      <w:pPr>
        <w:widowControl/>
        <w:numPr>
          <w:ilvl w:val="0"/>
          <w:numId w:val="2"/>
        </w:numPr>
        <w:spacing w:line="360" w:lineRule="auto"/>
        <w:ind w:left="0" w:firstLine="0"/>
        <w:jc w:val="both"/>
        <w:rPr>
          <w:rFonts w:ascii="Verdana" w:eastAsia="Verdana" w:hAnsi="Verdana" w:cs="Verdana"/>
          <w:sz w:val="20"/>
          <w:szCs w:val="20"/>
        </w:rPr>
      </w:pPr>
      <w:proofErr w:type="gramStart"/>
      <w:r>
        <w:rPr>
          <w:rFonts w:ascii="Verdana" w:eastAsia="Verdana" w:hAnsi="Verdana" w:cs="Verdana"/>
          <w:sz w:val="20"/>
          <w:szCs w:val="20"/>
        </w:rPr>
        <w:t>o</w:t>
      </w:r>
      <w:proofErr w:type="gramEnd"/>
      <w:r>
        <w:rPr>
          <w:rFonts w:ascii="Verdana" w:eastAsia="Verdana" w:hAnsi="Verdana" w:cs="Verdana"/>
          <w:sz w:val="20"/>
          <w:szCs w:val="20"/>
        </w:rPr>
        <w:t xml:space="preserve"> período respectivo de execução do contrato; e</w:t>
      </w:r>
    </w:p>
    <w:p w:rsidR="00112E29" w:rsidRDefault="005726C7">
      <w:pPr>
        <w:widowControl/>
        <w:numPr>
          <w:ilvl w:val="0"/>
          <w:numId w:val="2"/>
        </w:numPr>
        <w:spacing w:line="360" w:lineRule="auto"/>
        <w:ind w:left="0" w:firstLine="0"/>
        <w:jc w:val="both"/>
        <w:rPr>
          <w:rFonts w:ascii="Verdana" w:eastAsia="Verdana" w:hAnsi="Verdana" w:cs="Verdana"/>
          <w:sz w:val="20"/>
          <w:szCs w:val="20"/>
        </w:rPr>
      </w:pPr>
      <w:proofErr w:type="gramStart"/>
      <w:r>
        <w:rPr>
          <w:rFonts w:ascii="Verdana" w:eastAsia="Verdana" w:hAnsi="Verdana" w:cs="Verdana"/>
          <w:sz w:val="20"/>
          <w:szCs w:val="20"/>
        </w:rPr>
        <w:t>o</w:t>
      </w:r>
      <w:proofErr w:type="gramEnd"/>
      <w:r>
        <w:rPr>
          <w:rFonts w:ascii="Verdana" w:eastAsia="Verdana" w:hAnsi="Verdana" w:cs="Verdana"/>
          <w:sz w:val="20"/>
          <w:szCs w:val="20"/>
        </w:rPr>
        <w:t xml:space="preserve"> valor a pagar.</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14.3.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14.4. A nota fiscal ou instrumento de cobrança equivalente deverá ser obrigatoriamente acompanhado da comprovação da regularidade fiscal, constatada por meio de consulta </w:t>
      </w:r>
      <w:r>
        <w:rPr>
          <w:rFonts w:ascii="Verdana" w:eastAsia="Verdana" w:hAnsi="Verdana" w:cs="Verdana"/>
          <w:i/>
          <w:sz w:val="20"/>
          <w:szCs w:val="20"/>
        </w:rPr>
        <w:t>on-line</w:t>
      </w:r>
      <w:r>
        <w:rPr>
          <w:rFonts w:ascii="Verdana" w:eastAsia="Verdana" w:hAnsi="Verdana" w:cs="Verdana"/>
          <w:sz w:val="20"/>
          <w:szCs w:val="20"/>
        </w:rPr>
        <w:t xml:space="preserve"> ao SICAF ou, na impossibilidade de acesso ao referido Sistema, mediante consulta aos sítios eletrônicos oficiais ou à documentação mencionada no </w:t>
      </w:r>
      <w:hyperlink r:id="rId27" w:anchor="art68">
        <w:r>
          <w:rPr>
            <w:rFonts w:ascii="Verdana" w:eastAsia="Verdana" w:hAnsi="Verdana" w:cs="Verdana"/>
            <w:sz w:val="20"/>
            <w:szCs w:val="20"/>
            <w:u w:val="single"/>
          </w:rPr>
          <w:t xml:space="preserve">art. 68 da Lei nº 14.133, de 2021.  </w:t>
        </w:r>
      </w:hyperlink>
      <w:r>
        <w:rPr>
          <w:rFonts w:ascii="Verdana" w:eastAsia="Verdana" w:hAnsi="Verdana" w:cs="Verdana"/>
          <w:sz w:val="20"/>
          <w:szCs w:val="20"/>
        </w:rPr>
        <w:t xml:space="preserve"> </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14.5.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14.6.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14.7.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14.8. Persistindo a irregularidade, o contratante deverá adotar as medidas necessárias à rescisão contratual nos autos do processo administrativo correspondente, assegurada ao contratado a ampla defesa. </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lastRenderedPageBreak/>
        <w:t xml:space="preserve">14.9. Havendo a efetiva execução do objeto, os pagamentos serão realizados normalmente, até que se decida pela rescisão do contrato, caso o contratado não regularize sua situação junto ao SICAF.  </w:t>
      </w:r>
    </w:p>
    <w:p w:rsidR="00112E29" w:rsidRDefault="00112E29">
      <w:pPr>
        <w:keepNext/>
        <w:keepLines/>
        <w:widowControl/>
        <w:pBdr>
          <w:top w:val="nil"/>
          <w:left w:val="nil"/>
          <w:bottom w:val="nil"/>
          <w:right w:val="nil"/>
          <w:between w:val="nil"/>
        </w:pBdr>
        <w:tabs>
          <w:tab w:val="left" w:pos="567"/>
        </w:tabs>
        <w:spacing w:line="360" w:lineRule="auto"/>
        <w:jc w:val="both"/>
        <w:rPr>
          <w:rFonts w:ascii="Verdana" w:eastAsia="Verdana" w:hAnsi="Verdana" w:cs="Verdana"/>
          <w:b/>
          <w:sz w:val="20"/>
          <w:szCs w:val="20"/>
        </w:rPr>
      </w:pPr>
    </w:p>
    <w:p w:rsidR="00112E29" w:rsidRDefault="005726C7">
      <w:pPr>
        <w:keepNext/>
        <w:keepLines/>
        <w:widowControl/>
        <w:pBdr>
          <w:top w:val="nil"/>
          <w:left w:val="nil"/>
          <w:bottom w:val="nil"/>
          <w:right w:val="nil"/>
          <w:between w:val="nil"/>
        </w:pBdr>
        <w:tabs>
          <w:tab w:val="left" w:pos="567"/>
        </w:tabs>
        <w:spacing w:line="360" w:lineRule="auto"/>
        <w:jc w:val="both"/>
        <w:rPr>
          <w:rFonts w:ascii="Verdana" w:eastAsia="Verdana" w:hAnsi="Verdana" w:cs="Verdana"/>
          <w:b/>
          <w:sz w:val="20"/>
          <w:szCs w:val="20"/>
        </w:rPr>
      </w:pPr>
      <w:r>
        <w:rPr>
          <w:rFonts w:ascii="Verdana" w:eastAsia="Verdana" w:hAnsi="Verdana" w:cs="Verdana"/>
          <w:b/>
          <w:sz w:val="20"/>
          <w:szCs w:val="20"/>
        </w:rPr>
        <w:t>Prazo de pagamento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14.10. O pagamento será efetuado mensalmente, desde que tenha ocorrido pedido(s) de fornecimento no mês anterior, no prazo de até 10 (dez) dias úteis contados da finalização da liquidação da despesa. </w:t>
      </w:r>
    </w:p>
    <w:p w:rsidR="00112E29" w:rsidRDefault="00112E29">
      <w:pPr>
        <w:widowControl/>
        <w:pBdr>
          <w:top w:val="nil"/>
          <w:left w:val="nil"/>
          <w:bottom w:val="nil"/>
          <w:right w:val="nil"/>
          <w:between w:val="nil"/>
        </w:pBdr>
        <w:spacing w:line="360" w:lineRule="auto"/>
        <w:jc w:val="both"/>
        <w:rPr>
          <w:rFonts w:ascii="Verdana" w:eastAsia="Verdana" w:hAnsi="Verdana" w:cs="Verdana"/>
          <w:sz w:val="20"/>
          <w:szCs w:val="20"/>
        </w:rPr>
      </w:pP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14.11. Nos casos de eventuais atrasos de pagamento, desde que a </w:t>
      </w:r>
      <w:r>
        <w:rPr>
          <w:rFonts w:ascii="Verdana" w:eastAsia="Verdana" w:hAnsi="Verdana" w:cs="Verdana"/>
          <w:b/>
          <w:sz w:val="20"/>
          <w:szCs w:val="20"/>
        </w:rPr>
        <w:t xml:space="preserve">CONTRATADA </w:t>
      </w:r>
      <w:r>
        <w:rPr>
          <w:rFonts w:ascii="Verdana" w:eastAsia="Verdana" w:hAnsi="Verdana" w:cs="Verdana"/>
          <w:sz w:val="20"/>
          <w:szCs w:val="20"/>
        </w:rPr>
        <w:t>não tenha concorrido de alguma forma para tanto, fica convencionado que a taxa de compensação financeira devida pelo CONTRATANTE, entre a data do vencimento e o efetivo adimplemento da parcela, é calculada mediante a aplicação da seguinte fórmula:</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EM - I x N x VP, sendo: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EM = Encargos Moratórios;</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N = Número de dias entre a data prevista para o pagamento e a do efetivo pagamento;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I = Índice de compensação financeira = 0,00016438, assim apurado: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I = i/365     I = 6/100    i = 0,0001643</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                           365</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Em que i = taxa percentual anual no valor de 6%, capitalizada diariamente em regime de juros simples.</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VP = Valor da Parcela em atraso.</w:t>
      </w:r>
    </w:p>
    <w:p w:rsidR="00112E29" w:rsidRDefault="00112E29">
      <w:pPr>
        <w:keepNext/>
        <w:keepLines/>
        <w:widowControl/>
        <w:pBdr>
          <w:top w:val="nil"/>
          <w:left w:val="nil"/>
          <w:bottom w:val="nil"/>
          <w:right w:val="nil"/>
          <w:between w:val="nil"/>
        </w:pBdr>
        <w:tabs>
          <w:tab w:val="left" w:pos="567"/>
        </w:tabs>
        <w:spacing w:line="360" w:lineRule="auto"/>
        <w:jc w:val="both"/>
        <w:rPr>
          <w:rFonts w:ascii="Verdana" w:eastAsia="Verdana" w:hAnsi="Verdana" w:cs="Verdana"/>
          <w:b/>
          <w:sz w:val="20"/>
          <w:szCs w:val="20"/>
        </w:rPr>
      </w:pPr>
    </w:p>
    <w:p w:rsidR="00112E29" w:rsidRDefault="005726C7">
      <w:pPr>
        <w:keepNext/>
        <w:keepLines/>
        <w:widowControl/>
        <w:pBdr>
          <w:top w:val="nil"/>
          <w:left w:val="nil"/>
          <w:bottom w:val="nil"/>
          <w:right w:val="nil"/>
          <w:between w:val="nil"/>
        </w:pBdr>
        <w:tabs>
          <w:tab w:val="left" w:pos="567"/>
        </w:tabs>
        <w:spacing w:line="360" w:lineRule="auto"/>
        <w:jc w:val="both"/>
        <w:rPr>
          <w:rFonts w:ascii="Verdana" w:eastAsia="Verdana" w:hAnsi="Verdana" w:cs="Verdana"/>
          <w:b/>
          <w:sz w:val="20"/>
          <w:szCs w:val="20"/>
        </w:rPr>
      </w:pPr>
      <w:r>
        <w:rPr>
          <w:rFonts w:ascii="Verdana" w:eastAsia="Verdana" w:hAnsi="Verdana" w:cs="Verdana"/>
          <w:b/>
          <w:sz w:val="20"/>
          <w:szCs w:val="20"/>
        </w:rPr>
        <w:t>Forma de pagamento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14.12. O pagamento será realizado por meio de ordem bancária, para crédito em banco, agência e conta corrente indicados pelo contratado.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14.12.1. Será considerada data do pagamento o dia em que constar como emitida a ordem bancária para pagamento.</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14.13. Quando do pagamento, será efetuada a retenção tributária prevista na legislação aplicável.</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14.13.1. Independentemente do percentual de tributo inserido na planilha, quando houver, serão retidos na fonte, quando da realização do pagamento, os percentuais estabelecidos na legislação vigente.</w:t>
      </w:r>
    </w:p>
    <w:p w:rsidR="00112E29" w:rsidRDefault="005726C7">
      <w:pPr>
        <w:widowControl/>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14.14. O contratado regularmente optante pelo Simples Nacional, nos termos da </w:t>
      </w:r>
      <w:hyperlink r:id="rId28">
        <w:r>
          <w:rPr>
            <w:rFonts w:ascii="Verdana" w:eastAsia="Verdana" w:hAnsi="Verdana" w:cs="Verdana"/>
            <w:sz w:val="20"/>
            <w:szCs w:val="20"/>
          </w:rPr>
          <w:t>Lei Complementar nº. 123, de 2006</w:t>
        </w:r>
      </w:hyperlink>
      <w:r>
        <w:rPr>
          <w:rFonts w:ascii="Verdana" w:eastAsia="Verdana" w:hAnsi="Verdana" w:cs="Verdana"/>
          <w:sz w:val="20"/>
          <w:szCs w:val="2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lastRenderedPageBreak/>
        <w:t>14.15 A CONTRATADA obriga-se a realizar e manter atualizado o autocadastro no Sistema Integrado de Gestão Orçamentária e Financeira</w:t>
      </w:r>
      <w:proofErr w:type="gramStart"/>
      <w:r>
        <w:rPr>
          <w:rFonts w:ascii="Verdana" w:eastAsia="Verdana" w:hAnsi="Verdana" w:cs="Verdana"/>
          <w:sz w:val="20"/>
          <w:szCs w:val="20"/>
        </w:rPr>
        <w:t xml:space="preserve">  </w:t>
      </w:r>
      <w:proofErr w:type="gramEnd"/>
      <w:r>
        <w:rPr>
          <w:rFonts w:ascii="Verdana" w:eastAsia="Verdana" w:hAnsi="Verdana" w:cs="Verdana"/>
          <w:sz w:val="20"/>
          <w:szCs w:val="20"/>
        </w:rPr>
        <w:t xml:space="preserve">da Justiça do Trabalho (SIGEO-JT), nos termos previstos no ATO TRT7.GP nº 56, de 23 de março de 2022, disponível em </w:t>
      </w:r>
      <w:hyperlink r:id="rId29">
        <w:r>
          <w:rPr>
            <w:rFonts w:ascii="Verdana" w:eastAsia="Verdana" w:hAnsi="Verdana" w:cs="Verdana"/>
            <w:sz w:val="20"/>
            <w:szCs w:val="20"/>
            <w:u w:val="single"/>
          </w:rPr>
          <w:t>https://www.trt7.jus.br/index.php?option=com_content&amp;view=article&amp;id=4885&amp;Itemid=1258</w:t>
        </w:r>
      </w:hyperlink>
      <w:r>
        <w:rPr>
          <w:rFonts w:ascii="Verdana" w:eastAsia="Verdana" w:hAnsi="Verdana" w:cs="Verdana"/>
          <w:sz w:val="20"/>
          <w:szCs w:val="20"/>
        </w:rPr>
        <w:t xml:space="preserve"> </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14.16 Os documentos fiscais deverão ser enviados por meio do SIGEO-JT. </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14.17 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 </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Cessão de Pagamento.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sz w:val="20"/>
          <w:szCs w:val="20"/>
        </w:rPr>
        <w:t>14.18. É admitida a cessão fiduciária de direitos creditícios com instituição financeira, nos termos e de acordo com os procedimentos previstos na</w:t>
      </w:r>
      <w:hyperlink r:id="rId30">
        <w:r>
          <w:rPr>
            <w:rFonts w:ascii="Verdana" w:eastAsia="Verdana" w:hAnsi="Verdana" w:cs="Verdana"/>
            <w:sz w:val="20"/>
            <w:szCs w:val="20"/>
          </w:rPr>
          <w:t xml:space="preserve"> </w:t>
        </w:r>
      </w:hyperlink>
      <w:hyperlink r:id="rId31">
        <w:r>
          <w:rPr>
            <w:rFonts w:ascii="Verdana" w:eastAsia="Verdana" w:hAnsi="Verdana" w:cs="Verdana"/>
            <w:sz w:val="20"/>
            <w:szCs w:val="20"/>
            <w:u w:val="single"/>
          </w:rPr>
          <w:t>Instrução Normativa SEGES/ME nº 53, de 8 de Julho de 2020</w:t>
        </w:r>
      </w:hyperlink>
      <w:r>
        <w:rPr>
          <w:rFonts w:ascii="Verdana" w:eastAsia="Verdana" w:hAnsi="Verdana" w:cs="Verdana"/>
          <w:sz w:val="20"/>
          <w:szCs w:val="20"/>
        </w:rPr>
        <w:t>, conforme as regras deste presente tópico</w:t>
      </w:r>
      <w:r>
        <w:rPr>
          <w:rFonts w:ascii="Verdana" w:eastAsia="Verdana" w:hAnsi="Verdana" w:cs="Verdana"/>
          <w:b/>
          <w:sz w:val="20"/>
          <w:szCs w:val="20"/>
        </w:rPr>
        <w:t>.</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14.19. As cessões de crédito não fiduciárias dependerão de prévia aprovação do contratante.</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14.20. A eficácia da cessão de crédito, de qualquer natureza, em relação à Administração, está condicionada à celebração de termo aditivo ao contrato administrativo.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14.21.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32" w:anchor=":~:text=LEI%20N%C2%BA%208.429%2C%20DE%202%20DE%20JUNHO%20DE%201992&amp;text=Disp%C3%B5e%20sobre%20as%20san%C3%A7%C3%B5es%20aplic%C3%A1veis,fundacional%20e%20d%C3%A1%20outras%20provid%C3%AAncias.">
        <w:r>
          <w:rPr>
            <w:rFonts w:ascii="Verdana" w:eastAsia="Verdana" w:hAnsi="Verdana" w:cs="Verdana"/>
            <w:sz w:val="20"/>
            <w:szCs w:val="20"/>
          </w:rPr>
          <w:t xml:space="preserve"> </w:t>
        </w:r>
      </w:hyperlink>
      <w:hyperlink r:id="rId33" w:anchor=":~:text=LEI%20N%C2%BA%208.429%2C%20DE%202%20DE%20JUNHO%20DE%201992&amp;text=Disp%C3%B5e%20sobre%20as%20san%C3%A7%C3%B5es%20aplic%C3%A1veis,fundacional%20e%20d%C3%A1%20outras%20provid%C3%AAncias.">
        <w:r>
          <w:rPr>
            <w:rFonts w:ascii="Verdana" w:eastAsia="Verdana" w:hAnsi="Verdana" w:cs="Verdana"/>
            <w:sz w:val="20"/>
            <w:szCs w:val="20"/>
            <w:u w:val="single"/>
          </w:rPr>
          <w:t>o art. 12 da Lei nº 8.429, de 1992</w:t>
        </w:r>
      </w:hyperlink>
      <w:r>
        <w:rPr>
          <w:rFonts w:ascii="Verdana" w:eastAsia="Verdana" w:hAnsi="Verdana" w:cs="Verdana"/>
          <w:sz w:val="20"/>
          <w:szCs w:val="20"/>
        </w:rPr>
        <w:t>, tudo nos termos do</w:t>
      </w:r>
      <w:hyperlink r:id="rId34">
        <w:r>
          <w:rPr>
            <w:rFonts w:ascii="Verdana" w:eastAsia="Verdana" w:hAnsi="Verdana" w:cs="Verdana"/>
            <w:sz w:val="20"/>
            <w:szCs w:val="20"/>
          </w:rPr>
          <w:t xml:space="preserve"> </w:t>
        </w:r>
      </w:hyperlink>
      <w:hyperlink r:id="rId35">
        <w:r>
          <w:rPr>
            <w:rFonts w:ascii="Verdana" w:eastAsia="Verdana" w:hAnsi="Verdana" w:cs="Verdana"/>
            <w:sz w:val="20"/>
            <w:szCs w:val="20"/>
            <w:u w:val="single"/>
          </w:rPr>
          <w:t>Parecer JL-01, de 18 de maio de 2020.</w:t>
        </w:r>
      </w:hyperlink>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14.22.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lastRenderedPageBreak/>
        <w:t>14.23. A cessão de crédito não afetará a execução do objeto contratado, que continuará sob a integral responsabilidade do contratado.</w:t>
      </w:r>
    </w:p>
    <w:p w:rsidR="00112E29" w:rsidRDefault="00112E29">
      <w:pPr>
        <w:widowControl/>
        <w:pBdr>
          <w:top w:val="nil"/>
          <w:left w:val="nil"/>
          <w:bottom w:val="nil"/>
          <w:right w:val="nil"/>
          <w:between w:val="nil"/>
        </w:pBdr>
        <w:tabs>
          <w:tab w:val="left" w:pos="0"/>
        </w:tabs>
        <w:spacing w:line="360" w:lineRule="auto"/>
        <w:jc w:val="both"/>
        <w:rPr>
          <w:rFonts w:ascii="Verdana" w:eastAsia="Verdana" w:hAnsi="Verdana" w:cs="Verdana"/>
          <w:b/>
          <w:sz w:val="20"/>
          <w:szCs w:val="20"/>
        </w:rPr>
      </w:pPr>
    </w:p>
    <w:p w:rsidR="00112E29" w:rsidRDefault="005726C7">
      <w:pPr>
        <w:widowControl/>
        <w:pBdr>
          <w:top w:val="nil"/>
          <w:left w:val="nil"/>
          <w:bottom w:val="nil"/>
          <w:right w:val="nil"/>
          <w:between w:val="nil"/>
        </w:pBdr>
        <w:tabs>
          <w:tab w:val="left" w:pos="0"/>
        </w:tabs>
        <w:spacing w:line="360" w:lineRule="auto"/>
        <w:jc w:val="both"/>
        <w:rPr>
          <w:rFonts w:ascii="Verdana" w:eastAsia="Verdana" w:hAnsi="Verdana" w:cs="Verdana"/>
          <w:b/>
          <w:sz w:val="20"/>
          <w:szCs w:val="20"/>
        </w:rPr>
      </w:pPr>
      <w:r>
        <w:rPr>
          <w:rFonts w:ascii="Verdana" w:eastAsia="Verdana" w:hAnsi="Verdana" w:cs="Verdana"/>
          <w:b/>
          <w:sz w:val="20"/>
          <w:szCs w:val="20"/>
        </w:rPr>
        <w:t>15.  REAJUSTE</w:t>
      </w:r>
    </w:p>
    <w:p w:rsidR="00112E29" w:rsidRDefault="005726C7">
      <w:pPr>
        <w:widowControl/>
        <w:pBdr>
          <w:top w:val="nil"/>
          <w:left w:val="nil"/>
          <w:bottom w:val="nil"/>
          <w:right w:val="nil"/>
          <w:between w:val="nil"/>
        </w:pBdr>
        <w:tabs>
          <w:tab w:val="left" w:pos="0"/>
        </w:tabs>
        <w:spacing w:line="360" w:lineRule="auto"/>
        <w:jc w:val="both"/>
        <w:rPr>
          <w:rFonts w:ascii="Verdana" w:eastAsia="Verdana" w:hAnsi="Verdana" w:cs="Verdana"/>
          <w:sz w:val="20"/>
          <w:szCs w:val="20"/>
        </w:rPr>
      </w:pPr>
      <w:r>
        <w:rPr>
          <w:rFonts w:ascii="Verdana" w:eastAsia="Verdana" w:hAnsi="Verdana" w:cs="Verdana"/>
          <w:sz w:val="20"/>
          <w:szCs w:val="20"/>
        </w:rPr>
        <w:t xml:space="preserve">15.1. Os preços iniciais contratados são fixos e irreajustáveis no prazo de um ano </w:t>
      </w:r>
      <w:r>
        <w:rPr>
          <w:rFonts w:ascii="Verdana" w:eastAsia="Verdana" w:hAnsi="Verdana" w:cs="Verdana"/>
          <w:b/>
          <w:sz w:val="20"/>
          <w:szCs w:val="20"/>
        </w:rPr>
        <w:t>contado da data do orçamento estimado definido no Anexo I.</w:t>
      </w:r>
    </w:p>
    <w:p w:rsidR="00112E29" w:rsidRDefault="005726C7">
      <w:pPr>
        <w:widowControl/>
        <w:pBdr>
          <w:top w:val="nil"/>
          <w:left w:val="nil"/>
          <w:bottom w:val="nil"/>
          <w:right w:val="nil"/>
          <w:between w:val="nil"/>
        </w:pBdr>
        <w:tabs>
          <w:tab w:val="left" w:pos="0"/>
        </w:tabs>
        <w:spacing w:line="360" w:lineRule="auto"/>
        <w:jc w:val="both"/>
        <w:rPr>
          <w:rFonts w:ascii="Verdana" w:eastAsia="Verdana" w:hAnsi="Verdana" w:cs="Verdana"/>
          <w:sz w:val="20"/>
          <w:szCs w:val="20"/>
        </w:rPr>
      </w:pPr>
      <w:r>
        <w:rPr>
          <w:rFonts w:ascii="Verdana" w:eastAsia="Verdana" w:hAnsi="Verdana" w:cs="Verdana"/>
          <w:sz w:val="20"/>
          <w:szCs w:val="20"/>
        </w:rPr>
        <w:t>15.1.1 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rsidR="00112E29" w:rsidRDefault="005726C7">
      <w:pPr>
        <w:widowControl/>
        <w:pBdr>
          <w:top w:val="nil"/>
          <w:left w:val="nil"/>
          <w:bottom w:val="nil"/>
          <w:right w:val="nil"/>
          <w:between w:val="nil"/>
        </w:pBdr>
        <w:tabs>
          <w:tab w:val="left" w:pos="0"/>
        </w:tabs>
        <w:spacing w:line="360" w:lineRule="auto"/>
        <w:jc w:val="both"/>
        <w:rPr>
          <w:rFonts w:ascii="Verdana" w:eastAsia="Verdana" w:hAnsi="Verdana" w:cs="Verdana"/>
          <w:sz w:val="20"/>
          <w:szCs w:val="20"/>
        </w:rPr>
      </w:pPr>
      <w:r>
        <w:rPr>
          <w:rFonts w:ascii="Verdana" w:eastAsia="Verdana" w:hAnsi="Verdana" w:cs="Verdana"/>
          <w:sz w:val="20"/>
          <w:szCs w:val="20"/>
        </w:rPr>
        <w:t>15.2 Nos reajustes subsequentes ao primeiro, o interregno mínimo de um ano será contado a partir dos efeitos financeiros do último reajuste, quando for o caso.</w:t>
      </w:r>
    </w:p>
    <w:p w:rsidR="00112E29" w:rsidRDefault="005726C7">
      <w:pPr>
        <w:widowControl/>
        <w:pBdr>
          <w:top w:val="nil"/>
          <w:left w:val="nil"/>
          <w:bottom w:val="nil"/>
          <w:right w:val="nil"/>
          <w:between w:val="nil"/>
        </w:pBdr>
        <w:tabs>
          <w:tab w:val="left" w:pos="0"/>
        </w:tabs>
        <w:spacing w:line="360" w:lineRule="auto"/>
        <w:jc w:val="both"/>
        <w:rPr>
          <w:rFonts w:ascii="Verdana" w:eastAsia="Verdana" w:hAnsi="Verdana" w:cs="Verdana"/>
          <w:sz w:val="20"/>
          <w:szCs w:val="20"/>
        </w:rPr>
      </w:pPr>
      <w:r>
        <w:rPr>
          <w:rFonts w:ascii="Verdana" w:eastAsia="Verdana" w:hAnsi="Verdana" w:cs="Verdana"/>
          <w:sz w:val="20"/>
          <w:szCs w:val="20"/>
        </w:rPr>
        <w:t>15.3 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112E29" w:rsidRDefault="005726C7">
      <w:pPr>
        <w:widowControl/>
        <w:pBdr>
          <w:top w:val="nil"/>
          <w:left w:val="nil"/>
          <w:bottom w:val="nil"/>
          <w:right w:val="nil"/>
          <w:between w:val="nil"/>
        </w:pBdr>
        <w:tabs>
          <w:tab w:val="left" w:pos="0"/>
        </w:tabs>
        <w:spacing w:line="360" w:lineRule="auto"/>
        <w:jc w:val="both"/>
        <w:rPr>
          <w:rFonts w:ascii="Verdana" w:eastAsia="Verdana" w:hAnsi="Verdana" w:cs="Verdana"/>
          <w:sz w:val="20"/>
          <w:szCs w:val="20"/>
        </w:rPr>
      </w:pPr>
      <w:r>
        <w:rPr>
          <w:rFonts w:ascii="Verdana" w:eastAsia="Verdana" w:hAnsi="Verdana" w:cs="Verdana"/>
          <w:sz w:val="20"/>
          <w:szCs w:val="20"/>
        </w:rPr>
        <w:t>15.4 Nas aferições finais, o índice utilizado para reajuste será, obrigatoriamente, o definitivo, quando for o caso.</w:t>
      </w:r>
    </w:p>
    <w:p w:rsidR="00112E29" w:rsidRDefault="005726C7">
      <w:pPr>
        <w:widowControl/>
        <w:pBdr>
          <w:top w:val="nil"/>
          <w:left w:val="nil"/>
          <w:bottom w:val="nil"/>
          <w:right w:val="nil"/>
          <w:between w:val="nil"/>
        </w:pBdr>
        <w:tabs>
          <w:tab w:val="left" w:pos="0"/>
        </w:tabs>
        <w:spacing w:line="360" w:lineRule="auto"/>
        <w:jc w:val="both"/>
        <w:rPr>
          <w:rFonts w:ascii="Verdana" w:eastAsia="Verdana" w:hAnsi="Verdana" w:cs="Verdana"/>
          <w:sz w:val="20"/>
          <w:szCs w:val="20"/>
        </w:rPr>
      </w:pPr>
      <w:r>
        <w:rPr>
          <w:rFonts w:ascii="Verdana" w:eastAsia="Verdana" w:hAnsi="Verdana" w:cs="Verdana"/>
          <w:sz w:val="20"/>
          <w:szCs w:val="20"/>
        </w:rPr>
        <w:t>15.5 Caso o índice estabelecido para reajustamento venha a ser extinto ou de qualquer forma não possa mais ser utilizado, será adotado, em substituição, o que vier a ser determinado pela legislação então em vigor.</w:t>
      </w:r>
    </w:p>
    <w:p w:rsidR="00112E29" w:rsidRDefault="005726C7">
      <w:pPr>
        <w:widowControl/>
        <w:pBdr>
          <w:top w:val="nil"/>
          <w:left w:val="nil"/>
          <w:bottom w:val="nil"/>
          <w:right w:val="nil"/>
          <w:between w:val="nil"/>
        </w:pBdr>
        <w:tabs>
          <w:tab w:val="left" w:pos="0"/>
        </w:tabs>
        <w:spacing w:line="360" w:lineRule="auto"/>
        <w:jc w:val="both"/>
        <w:rPr>
          <w:rFonts w:ascii="Verdana" w:eastAsia="Verdana" w:hAnsi="Verdana" w:cs="Verdana"/>
          <w:sz w:val="20"/>
          <w:szCs w:val="20"/>
        </w:rPr>
      </w:pPr>
      <w:r>
        <w:rPr>
          <w:rFonts w:ascii="Verdana" w:eastAsia="Verdana" w:hAnsi="Verdana" w:cs="Verdana"/>
          <w:sz w:val="20"/>
          <w:szCs w:val="20"/>
        </w:rPr>
        <w:t>15.6 Na ausência de previsão legal quanto ao índice substituto, as partes elegerão novo índice oficial, para reajustamento do preço do valor remanescente, por meio de termo aditivo.</w:t>
      </w:r>
    </w:p>
    <w:p w:rsidR="00112E29" w:rsidRDefault="005726C7">
      <w:pPr>
        <w:widowControl/>
        <w:pBdr>
          <w:top w:val="nil"/>
          <w:left w:val="nil"/>
          <w:bottom w:val="nil"/>
          <w:right w:val="nil"/>
          <w:between w:val="nil"/>
        </w:pBdr>
        <w:tabs>
          <w:tab w:val="left" w:pos="0"/>
        </w:tabs>
        <w:spacing w:line="360" w:lineRule="auto"/>
        <w:jc w:val="both"/>
        <w:rPr>
          <w:rFonts w:ascii="Verdana" w:eastAsia="Verdana" w:hAnsi="Verdana" w:cs="Verdana"/>
          <w:sz w:val="20"/>
          <w:szCs w:val="20"/>
        </w:rPr>
      </w:pPr>
      <w:r>
        <w:rPr>
          <w:rFonts w:ascii="Verdana" w:eastAsia="Verdana" w:hAnsi="Verdana" w:cs="Verdana"/>
          <w:sz w:val="20"/>
          <w:szCs w:val="20"/>
        </w:rPr>
        <w:t xml:space="preserve">15.7. O reajuste será realizado por </w:t>
      </w:r>
      <w:proofErr w:type="spellStart"/>
      <w:r>
        <w:rPr>
          <w:rFonts w:ascii="Verdana" w:eastAsia="Verdana" w:hAnsi="Verdana" w:cs="Verdana"/>
          <w:sz w:val="20"/>
          <w:szCs w:val="20"/>
        </w:rPr>
        <w:t>apostilamento</w:t>
      </w:r>
      <w:proofErr w:type="spellEnd"/>
      <w:r>
        <w:rPr>
          <w:rFonts w:ascii="Verdana" w:eastAsia="Verdana" w:hAnsi="Verdana" w:cs="Verdana"/>
          <w:sz w:val="20"/>
          <w:szCs w:val="20"/>
        </w:rPr>
        <w:t>.</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16. SANÇÕES ADMINISTRATIVAS:</w:t>
      </w:r>
    </w:p>
    <w:p w:rsidR="00112E29" w:rsidRDefault="005726C7">
      <w:pPr>
        <w:pBdr>
          <w:top w:val="nil"/>
          <w:left w:val="nil"/>
          <w:bottom w:val="nil"/>
          <w:right w:val="nil"/>
          <w:between w:val="nil"/>
        </w:pBdr>
        <w:tabs>
          <w:tab w:val="left" w:pos="0"/>
        </w:tabs>
        <w:spacing w:line="360" w:lineRule="auto"/>
        <w:ind w:right="274"/>
        <w:jc w:val="both"/>
        <w:rPr>
          <w:rFonts w:ascii="Verdana" w:eastAsia="Verdana" w:hAnsi="Verdana" w:cs="Verdana"/>
          <w:sz w:val="20"/>
          <w:szCs w:val="20"/>
        </w:rPr>
      </w:pPr>
      <w:r>
        <w:rPr>
          <w:rFonts w:ascii="Verdana" w:eastAsia="Verdana" w:hAnsi="Verdana" w:cs="Verdana"/>
          <w:sz w:val="20"/>
          <w:szCs w:val="20"/>
        </w:rPr>
        <w:t>16.1.  Comete infração administrativa o contratado que cometer quaisquer das infrações previstas no art. 155 da Lei nº 14.133, de 2021, quais sejam:</w:t>
      </w:r>
    </w:p>
    <w:p w:rsidR="00112E29" w:rsidRDefault="005726C7">
      <w:pPr>
        <w:pBdr>
          <w:top w:val="nil"/>
          <w:left w:val="nil"/>
          <w:bottom w:val="nil"/>
          <w:right w:val="nil"/>
          <w:between w:val="nil"/>
        </w:pBdr>
        <w:tabs>
          <w:tab w:val="left" w:pos="0"/>
        </w:tabs>
        <w:spacing w:line="360" w:lineRule="auto"/>
        <w:ind w:right="274"/>
        <w:rPr>
          <w:rFonts w:ascii="Verdana" w:eastAsia="Verdana" w:hAnsi="Verdana" w:cs="Verdana"/>
          <w:sz w:val="20"/>
          <w:szCs w:val="20"/>
        </w:rPr>
      </w:pPr>
      <w:r>
        <w:rPr>
          <w:rFonts w:ascii="Verdana" w:eastAsia="Verdana" w:hAnsi="Verdana" w:cs="Verdana"/>
          <w:sz w:val="20"/>
          <w:szCs w:val="20"/>
        </w:rPr>
        <w:t>a) dar causa à inexecução parcial do contrato;</w:t>
      </w:r>
    </w:p>
    <w:p w:rsidR="00112E29" w:rsidRDefault="005726C7">
      <w:pPr>
        <w:pBdr>
          <w:top w:val="nil"/>
          <w:left w:val="nil"/>
          <w:bottom w:val="nil"/>
          <w:right w:val="nil"/>
          <w:between w:val="nil"/>
        </w:pBdr>
        <w:tabs>
          <w:tab w:val="left" w:pos="0"/>
        </w:tabs>
        <w:spacing w:line="360" w:lineRule="auto"/>
        <w:ind w:right="274"/>
        <w:jc w:val="both"/>
        <w:rPr>
          <w:rFonts w:ascii="Verdana" w:eastAsia="Verdana" w:hAnsi="Verdana" w:cs="Verdana"/>
          <w:sz w:val="20"/>
          <w:szCs w:val="20"/>
        </w:rPr>
      </w:pPr>
      <w:r>
        <w:rPr>
          <w:rFonts w:ascii="Verdana" w:eastAsia="Verdana" w:hAnsi="Verdana" w:cs="Verdana"/>
          <w:sz w:val="20"/>
          <w:szCs w:val="20"/>
        </w:rPr>
        <w:t>b) dar causa à inexecução parcial do contrato que cause grave dano à Administração, ao funcionamento dos serviços públicos ou ao interesse coletivo;</w:t>
      </w:r>
    </w:p>
    <w:p w:rsidR="00112E29" w:rsidRDefault="005726C7">
      <w:pPr>
        <w:pBdr>
          <w:top w:val="nil"/>
          <w:left w:val="nil"/>
          <w:bottom w:val="nil"/>
          <w:right w:val="nil"/>
          <w:between w:val="nil"/>
        </w:pBdr>
        <w:tabs>
          <w:tab w:val="left" w:pos="0"/>
        </w:tabs>
        <w:spacing w:line="360" w:lineRule="auto"/>
        <w:ind w:right="274"/>
        <w:rPr>
          <w:rFonts w:ascii="Verdana" w:eastAsia="Verdana" w:hAnsi="Verdana" w:cs="Verdana"/>
          <w:sz w:val="20"/>
          <w:szCs w:val="20"/>
        </w:rPr>
      </w:pPr>
      <w:r>
        <w:rPr>
          <w:rFonts w:ascii="Verdana" w:eastAsia="Verdana" w:hAnsi="Verdana" w:cs="Verdana"/>
          <w:sz w:val="20"/>
          <w:szCs w:val="20"/>
        </w:rPr>
        <w:t>c) dar causa à inexecução total do contrato;</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d) ensejar o retardamento da execução ou da entrega do objeto da licitação sem motivo justificado;</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e) apresentar documentação falsa ou prestar declaração falsa durante a execução do contrato;</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lastRenderedPageBreak/>
        <w:t>f) praticar ato fraudulento na execução do contrato;</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g) comportar-se de modo inidôneo ou cometer fraude de qualquer natureza;</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g.1) Considera-se comportamento inidôneo, entre outros, a declaração falsa quanto às condições de participação, quanto ao enquadramento como ME/EPP ou o conluio entre os fornecedores, em qualquer momento da dispensa, mesmo após o encerramento da fase de lances.</w:t>
      </w:r>
    </w:p>
    <w:p w:rsidR="00112E29" w:rsidRDefault="005726C7">
      <w:pPr>
        <w:pBdr>
          <w:top w:val="nil"/>
          <w:left w:val="nil"/>
          <w:bottom w:val="nil"/>
          <w:right w:val="nil"/>
          <w:between w:val="nil"/>
        </w:pBdr>
        <w:spacing w:line="360" w:lineRule="auto"/>
        <w:rPr>
          <w:rFonts w:ascii="Verdana" w:eastAsia="Verdana" w:hAnsi="Verdana" w:cs="Verdana"/>
          <w:sz w:val="20"/>
          <w:szCs w:val="20"/>
        </w:rPr>
      </w:pPr>
      <w:r>
        <w:rPr>
          <w:rFonts w:ascii="Verdana" w:eastAsia="Verdana" w:hAnsi="Verdana" w:cs="Verdana"/>
          <w:sz w:val="20"/>
          <w:szCs w:val="20"/>
        </w:rPr>
        <w:t>h) praticar ato lesivo previsto no </w:t>
      </w:r>
      <w:hyperlink r:id="rId36" w:anchor="art5">
        <w:r>
          <w:rPr>
            <w:rFonts w:ascii="Verdana" w:eastAsia="Verdana" w:hAnsi="Verdana" w:cs="Verdana"/>
            <w:sz w:val="20"/>
            <w:szCs w:val="20"/>
          </w:rPr>
          <w:t>art. 5º da Lei nº 12.846, de 1º de agosto de 2013.</w:t>
        </w:r>
      </w:hyperlink>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16.2. O fornecedor que cometer qualquer das infrações discriminadas nos subitens anteriores ficará sujeito, sem prejuízo da responsabilidade civil e criminal, às seguintes sanções:</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a) Advertência, quando o contratado der causa à inexecução parcial do contrato, sempre que não se justificar a imposição de penalidade mais grave (</w:t>
      </w:r>
      <w:hyperlink r:id="rId37" w:anchor="art156%C2%A72">
        <w:r>
          <w:rPr>
            <w:rFonts w:ascii="Verdana" w:eastAsia="Verdana" w:hAnsi="Verdana" w:cs="Verdana"/>
            <w:sz w:val="20"/>
            <w:szCs w:val="20"/>
            <w:u w:val="single"/>
          </w:rPr>
          <w:t>art. 156, §2º, da Lei nº 14.133, de 2021</w:t>
        </w:r>
      </w:hyperlink>
      <w:r>
        <w:rPr>
          <w:rFonts w:ascii="Verdana" w:eastAsia="Verdana" w:hAnsi="Verdana" w:cs="Verdana"/>
          <w:sz w:val="20"/>
          <w:szCs w:val="20"/>
        </w:rPr>
        <w:t>)</w:t>
      </w:r>
      <w:proofErr w:type="gramStart"/>
      <w:r>
        <w:rPr>
          <w:rFonts w:ascii="Verdana" w:eastAsia="Verdana" w:hAnsi="Verdana" w:cs="Verdana"/>
          <w:sz w:val="20"/>
          <w:szCs w:val="20"/>
        </w:rPr>
        <w:t>;;</w:t>
      </w:r>
      <w:proofErr w:type="gramEnd"/>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b)  Multa de mora de 0,5% (cinco décimos por cento) por dia, sobre o valor contratado do item prejudicado, quando praticada conduta descrita na alínea “d”, limitado a 20 (vinte) dias. Após o vigésimo dia e a critério da Administração, poderá ser considerada inexecução total ou parcial do objeto.</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c) Multa compensatória 10% (dez por cento) sobre o valor contratado do item prejudicado, quando praticada conduta descrita na alínea “b”</w:t>
      </w:r>
      <w:proofErr w:type="gramStart"/>
      <w:r>
        <w:rPr>
          <w:rFonts w:ascii="Verdana" w:eastAsia="Verdana" w:hAnsi="Verdana" w:cs="Verdana"/>
          <w:sz w:val="20"/>
          <w:szCs w:val="20"/>
        </w:rPr>
        <w:t>.</w:t>
      </w:r>
      <w:proofErr w:type="gramEnd"/>
      <w:r>
        <w:rPr>
          <w:rFonts w:ascii="Verdana" w:eastAsia="Verdana" w:hAnsi="Verdana" w:cs="Verdana"/>
          <w:sz w:val="20"/>
          <w:szCs w:val="20"/>
        </w:rPr>
        <w:t>(inexecução parcial do contrato que cause grave dano à Administração, ao funcionamento dos serviços públicos ou ao interesse coletivo).</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d) Multa compensatória de 10% (dez por cento) sobre o valor contratado,</w:t>
      </w:r>
      <w:proofErr w:type="gramStart"/>
      <w:r>
        <w:rPr>
          <w:rFonts w:ascii="Verdana" w:eastAsia="Verdana" w:hAnsi="Verdana" w:cs="Verdana"/>
          <w:sz w:val="20"/>
          <w:szCs w:val="20"/>
        </w:rPr>
        <w:t xml:space="preserve">  </w:t>
      </w:r>
      <w:proofErr w:type="gramEnd"/>
      <w:r>
        <w:rPr>
          <w:rFonts w:ascii="Verdana" w:eastAsia="Verdana" w:hAnsi="Verdana" w:cs="Verdana"/>
          <w:sz w:val="20"/>
          <w:szCs w:val="20"/>
        </w:rPr>
        <w:t>quando praticada conduta descrita na alínea “c”.(inexecução total do contrato).</w:t>
      </w:r>
    </w:p>
    <w:p w:rsidR="00112E29" w:rsidRDefault="005726C7">
      <w:pPr>
        <w:spacing w:line="360" w:lineRule="auto"/>
        <w:jc w:val="both"/>
        <w:rPr>
          <w:rFonts w:ascii="Verdana" w:eastAsia="Verdana" w:hAnsi="Verdana" w:cs="Verdana"/>
          <w:sz w:val="20"/>
          <w:szCs w:val="20"/>
        </w:rPr>
      </w:pPr>
      <w:r>
        <w:rPr>
          <w:rFonts w:ascii="Verdana" w:eastAsia="Verdana" w:hAnsi="Verdana" w:cs="Verdana"/>
          <w:sz w:val="20"/>
          <w:szCs w:val="20"/>
        </w:rPr>
        <w:t>e) Multa compensatória de 5% (cinco por cento) sobre o valor do contrato, para as infrações descritas nas alíneas “e” a “h” do subitem 16.1.</w:t>
      </w:r>
    </w:p>
    <w:p w:rsidR="00112E29" w:rsidRDefault="005726C7">
      <w:pPr>
        <w:spacing w:line="360" w:lineRule="auto"/>
        <w:jc w:val="both"/>
        <w:rPr>
          <w:rFonts w:ascii="Verdana" w:eastAsia="Verdana" w:hAnsi="Verdana" w:cs="Verdana"/>
          <w:sz w:val="20"/>
          <w:szCs w:val="20"/>
        </w:rPr>
      </w:pPr>
      <w:r>
        <w:rPr>
          <w:rFonts w:ascii="Verdana" w:eastAsia="Verdana" w:hAnsi="Verdana" w:cs="Verdana"/>
          <w:sz w:val="20"/>
          <w:szCs w:val="20"/>
        </w:rPr>
        <w:t>f) Para a infração descrita na alínea “a” do subitem 16.1., a multa será de</w:t>
      </w:r>
      <w:proofErr w:type="gramStart"/>
      <w:r>
        <w:rPr>
          <w:rFonts w:ascii="Verdana" w:eastAsia="Verdana" w:hAnsi="Verdana" w:cs="Verdana"/>
          <w:sz w:val="20"/>
          <w:szCs w:val="20"/>
        </w:rPr>
        <w:t xml:space="preserve">  </w:t>
      </w:r>
      <w:proofErr w:type="gramEnd"/>
      <w:r>
        <w:rPr>
          <w:rFonts w:ascii="Verdana" w:eastAsia="Verdana" w:hAnsi="Verdana" w:cs="Verdana"/>
          <w:sz w:val="20"/>
          <w:szCs w:val="20"/>
        </w:rPr>
        <w:t>5% do valor do item prejudicado.</w:t>
      </w:r>
    </w:p>
    <w:p w:rsidR="00112E29" w:rsidRDefault="005726C7">
      <w:pPr>
        <w:spacing w:line="360" w:lineRule="auto"/>
        <w:jc w:val="both"/>
        <w:rPr>
          <w:rFonts w:ascii="Verdana" w:eastAsia="Verdana" w:hAnsi="Verdana" w:cs="Verdana"/>
          <w:sz w:val="20"/>
          <w:szCs w:val="20"/>
        </w:rPr>
      </w:pPr>
      <w:r>
        <w:rPr>
          <w:rFonts w:ascii="Verdana" w:eastAsia="Verdana" w:hAnsi="Verdana" w:cs="Verdana"/>
          <w:sz w:val="20"/>
          <w:szCs w:val="20"/>
        </w:rPr>
        <w:t>g) Impedimento de licitar e contratar no âmbito da Administração Pública direta e indireta do ente federativo que tiver aplicado a sanção, pelo prazo máximo de 3 (três) anos, nos casos descritos nas alíneas “b”, “c” e “d” do item 16.1 deste Termo de referência, quando não se justificar a imposição de penalidade mais grave;</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h) Declaração de inidoneidade para licitar ou contratar, que impedirá o responsável de licitar ou contratar no âmbito da Administração Pública direta e indireta de todos os entes federativos, pelo prazo mínimo de </w:t>
      </w:r>
      <w:proofErr w:type="gramStart"/>
      <w:r>
        <w:rPr>
          <w:rFonts w:ascii="Verdana" w:eastAsia="Verdana" w:hAnsi="Verdana" w:cs="Verdana"/>
          <w:sz w:val="20"/>
          <w:szCs w:val="20"/>
        </w:rPr>
        <w:t>3</w:t>
      </w:r>
      <w:proofErr w:type="gramEnd"/>
      <w:r>
        <w:rPr>
          <w:rFonts w:ascii="Verdana" w:eastAsia="Verdana" w:hAnsi="Verdana" w:cs="Verdana"/>
          <w:sz w:val="20"/>
          <w:szCs w:val="20"/>
        </w:rPr>
        <w:t xml:space="preserve"> (três) anos e máximo de 6 (seis) anos, nos casos descritos nas alíneas  “e”, “f”, “g” e “h” do item 16.1, bem como nos demais casos que justifiquem a imposição da penalidade mais grave;</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16.3. Na aplicação das sanções serão considerados:</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a) a natureza e a gravidade da infração cometida;</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proofErr w:type="gramStart"/>
      <w:r>
        <w:rPr>
          <w:rFonts w:ascii="Verdana" w:eastAsia="Verdana" w:hAnsi="Verdana" w:cs="Verdana"/>
          <w:sz w:val="20"/>
          <w:szCs w:val="20"/>
        </w:rPr>
        <w:lastRenderedPageBreak/>
        <w:t>b)</w:t>
      </w:r>
      <w:proofErr w:type="gramEnd"/>
      <w:r>
        <w:rPr>
          <w:rFonts w:ascii="Verdana" w:eastAsia="Verdana" w:hAnsi="Verdana" w:cs="Verdana"/>
          <w:sz w:val="20"/>
          <w:szCs w:val="20"/>
        </w:rPr>
        <w:t xml:space="preserve">. </w:t>
      </w:r>
      <w:proofErr w:type="gramStart"/>
      <w:r>
        <w:rPr>
          <w:rFonts w:ascii="Verdana" w:eastAsia="Verdana" w:hAnsi="Verdana" w:cs="Verdana"/>
          <w:sz w:val="20"/>
          <w:szCs w:val="20"/>
        </w:rPr>
        <w:t>as</w:t>
      </w:r>
      <w:proofErr w:type="gramEnd"/>
      <w:r>
        <w:rPr>
          <w:rFonts w:ascii="Verdana" w:eastAsia="Verdana" w:hAnsi="Verdana" w:cs="Verdana"/>
          <w:sz w:val="20"/>
          <w:szCs w:val="20"/>
        </w:rPr>
        <w:t xml:space="preserve"> peculiaridades do caso concreto;</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c). </w:t>
      </w:r>
      <w:proofErr w:type="gramStart"/>
      <w:r>
        <w:rPr>
          <w:rFonts w:ascii="Verdana" w:eastAsia="Verdana" w:hAnsi="Verdana" w:cs="Verdana"/>
          <w:sz w:val="20"/>
          <w:szCs w:val="20"/>
        </w:rPr>
        <w:t>as</w:t>
      </w:r>
      <w:proofErr w:type="gramEnd"/>
      <w:r>
        <w:rPr>
          <w:rFonts w:ascii="Verdana" w:eastAsia="Verdana" w:hAnsi="Verdana" w:cs="Verdana"/>
          <w:sz w:val="20"/>
          <w:szCs w:val="20"/>
        </w:rPr>
        <w:t xml:space="preserve"> circunstâncias agravantes ou atenuantes;</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d). </w:t>
      </w:r>
      <w:proofErr w:type="gramStart"/>
      <w:r>
        <w:rPr>
          <w:rFonts w:ascii="Verdana" w:eastAsia="Verdana" w:hAnsi="Verdana" w:cs="Verdana"/>
          <w:sz w:val="20"/>
          <w:szCs w:val="20"/>
        </w:rPr>
        <w:t>os</w:t>
      </w:r>
      <w:proofErr w:type="gramEnd"/>
      <w:r>
        <w:rPr>
          <w:rFonts w:ascii="Verdana" w:eastAsia="Verdana" w:hAnsi="Verdana" w:cs="Verdana"/>
          <w:sz w:val="20"/>
          <w:szCs w:val="20"/>
        </w:rPr>
        <w:t xml:space="preserve"> danos que dela provierem para a Administração Pública;</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proofErr w:type="gramStart"/>
      <w:r>
        <w:rPr>
          <w:rFonts w:ascii="Verdana" w:eastAsia="Verdana" w:hAnsi="Verdana" w:cs="Verdana"/>
          <w:sz w:val="20"/>
          <w:szCs w:val="20"/>
        </w:rPr>
        <w:t>e</w:t>
      </w:r>
      <w:proofErr w:type="gramEnd"/>
      <w:r>
        <w:rPr>
          <w:rFonts w:ascii="Verdana" w:eastAsia="Verdana" w:hAnsi="Verdana" w:cs="Verdana"/>
          <w:sz w:val="20"/>
          <w:szCs w:val="20"/>
        </w:rPr>
        <w:t xml:space="preserve">). </w:t>
      </w:r>
      <w:proofErr w:type="gramStart"/>
      <w:r>
        <w:rPr>
          <w:rFonts w:ascii="Verdana" w:eastAsia="Verdana" w:hAnsi="Verdana" w:cs="Verdana"/>
          <w:sz w:val="20"/>
          <w:szCs w:val="20"/>
        </w:rPr>
        <w:t>a</w:t>
      </w:r>
      <w:proofErr w:type="gramEnd"/>
      <w:r>
        <w:rPr>
          <w:rFonts w:ascii="Verdana" w:eastAsia="Verdana" w:hAnsi="Verdana" w:cs="Verdana"/>
          <w:sz w:val="20"/>
          <w:szCs w:val="20"/>
        </w:rPr>
        <w:t xml:space="preserve"> implantação ou o aperfeiçoamento de programa de integridade, conforme normas e orientações dos órgãos de controle.</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bookmarkStart w:id="3" w:name="bookmark=id.tyjcwt" w:colFirst="0" w:colLast="0"/>
      <w:bookmarkEnd w:id="3"/>
      <w:r>
        <w:rPr>
          <w:rFonts w:ascii="Verdana" w:eastAsia="Verdana" w:hAnsi="Verdana" w:cs="Verdana"/>
          <w:sz w:val="20"/>
          <w:szCs w:val="20"/>
        </w:rPr>
        <w:t>16.4.  A aplicação das sanções previstas neste Contrato não exclui, em hipótese alguma, a obrigação de reparação integral do dano causado ao Contratante (</w:t>
      </w:r>
      <w:hyperlink r:id="rId38" w:anchor="art156%C2%A79">
        <w:r>
          <w:rPr>
            <w:rFonts w:ascii="Verdana" w:eastAsia="Verdana" w:hAnsi="Verdana" w:cs="Verdana"/>
            <w:sz w:val="20"/>
            <w:szCs w:val="20"/>
            <w:u w:val="single"/>
          </w:rPr>
          <w:t>art. 156, §9º, da Lei nº 14.133, de 2021</w:t>
        </w:r>
      </w:hyperlink>
      <w:r>
        <w:rPr>
          <w:rFonts w:ascii="Verdana" w:eastAsia="Verdana" w:hAnsi="Verdana" w:cs="Verdana"/>
          <w:sz w:val="20"/>
          <w:szCs w:val="20"/>
        </w:rPr>
        <w:t>).</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16.5. A penalidade de multa pode ser aplicada cumulativamente com as demais sanções.</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16.6. Se a multa aplicada e as indenizações cabíveis forem superiores ao valor do pagamento eventualmente devido pelo Contratante ao Contratado, além da perda desse valor, a diferença será descontada da garantia prestada ou será cobrada judicialmente (</w:t>
      </w:r>
      <w:hyperlink r:id="rId39" w:anchor="art156%C2%A78">
        <w:r>
          <w:rPr>
            <w:rFonts w:ascii="Verdana" w:eastAsia="Verdana" w:hAnsi="Verdana" w:cs="Verdana"/>
            <w:sz w:val="20"/>
            <w:szCs w:val="20"/>
            <w:u w:val="single"/>
          </w:rPr>
          <w:t>art. 156, §8º, da Lei nº 14.133, de 2021</w:t>
        </w:r>
      </w:hyperlink>
      <w:r>
        <w:rPr>
          <w:rFonts w:ascii="Verdana" w:eastAsia="Verdana" w:hAnsi="Verdana" w:cs="Verdana"/>
          <w:sz w:val="20"/>
          <w:szCs w:val="20"/>
        </w:rPr>
        <w:t xml:space="preserve">). </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16.7. Previamente ao encaminhamento à cobrança judicial, a multa poderá ser recolhida administrativamente no prazo máximo de 30 (trinta) dias, a contar da data do recebimento da comunicação enviada pela autoridade competente.</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16.8. Os atos previstos como infrações administrativas na</w:t>
      </w:r>
      <w:hyperlink r:id="rId40">
        <w:r>
          <w:rPr>
            <w:rFonts w:ascii="Verdana" w:eastAsia="Verdana" w:hAnsi="Verdana" w:cs="Verdana"/>
            <w:sz w:val="20"/>
            <w:szCs w:val="20"/>
          </w:rPr>
          <w:t xml:space="preserve"> </w:t>
        </w:r>
      </w:hyperlink>
      <w:hyperlink r:id="rId41">
        <w:r>
          <w:rPr>
            <w:rFonts w:ascii="Verdana" w:eastAsia="Verdana" w:hAnsi="Verdana" w:cs="Verdana"/>
            <w:sz w:val="20"/>
            <w:szCs w:val="20"/>
            <w:u w:val="single"/>
          </w:rPr>
          <w:t>Lei nº 14.133, de 2021</w:t>
        </w:r>
      </w:hyperlink>
      <w:r>
        <w:rPr>
          <w:rFonts w:ascii="Verdana" w:eastAsia="Verdana" w:hAnsi="Verdana" w:cs="Verdana"/>
          <w:sz w:val="20"/>
          <w:szCs w:val="20"/>
        </w:rPr>
        <w:t>, ou em outras leis de licitações e contratos da Administração Pública que também sejam tipificados como atos lesivos na</w:t>
      </w:r>
      <w:hyperlink r:id="rId42">
        <w:r>
          <w:rPr>
            <w:rFonts w:ascii="Verdana" w:eastAsia="Verdana" w:hAnsi="Verdana" w:cs="Verdana"/>
            <w:sz w:val="20"/>
            <w:szCs w:val="20"/>
          </w:rPr>
          <w:t xml:space="preserve"> </w:t>
        </w:r>
      </w:hyperlink>
      <w:hyperlink r:id="rId43">
        <w:r>
          <w:rPr>
            <w:rFonts w:ascii="Verdana" w:eastAsia="Verdana" w:hAnsi="Verdana" w:cs="Verdana"/>
            <w:sz w:val="20"/>
            <w:szCs w:val="20"/>
            <w:u w:val="single"/>
          </w:rPr>
          <w:t>Lei nº 12.846, de 2013</w:t>
        </w:r>
      </w:hyperlink>
      <w:r>
        <w:rPr>
          <w:rFonts w:ascii="Verdana" w:eastAsia="Verdana" w:hAnsi="Verdana" w:cs="Verdana"/>
          <w:sz w:val="20"/>
          <w:szCs w:val="20"/>
        </w:rPr>
        <w:t>, serão apurados e julgados conjuntamente, nos mesmos autos, observados o rito procedimental e autoridade competente definidos na referida Lei (</w:t>
      </w:r>
      <w:hyperlink r:id="rId44">
        <w:r>
          <w:rPr>
            <w:rFonts w:ascii="Verdana" w:eastAsia="Verdana" w:hAnsi="Verdana" w:cs="Verdana"/>
            <w:sz w:val="20"/>
            <w:szCs w:val="20"/>
            <w:u w:val="single"/>
          </w:rPr>
          <w:t>art. 159</w:t>
        </w:r>
      </w:hyperlink>
      <w:r>
        <w:rPr>
          <w:rFonts w:ascii="Verdana" w:eastAsia="Verdana" w:hAnsi="Verdana" w:cs="Verdana"/>
          <w:sz w:val="20"/>
          <w:szCs w:val="20"/>
        </w:rPr>
        <w:t>).</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16.9. A aplicação de qualquer das penalidades previstas realizar-se-á em processo administrativo que </w:t>
      </w:r>
      <w:r>
        <w:rPr>
          <w:rFonts w:ascii="Verdana" w:eastAsia="Verdana" w:hAnsi="Verdana" w:cs="Verdana"/>
          <w:b/>
          <w:sz w:val="20"/>
          <w:szCs w:val="20"/>
        </w:rPr>
        <w:t>assegurará o contraditório e a ampla defesa ao fornecedor/adjudicatário</w:t>
      </w:r>
      <w:r>
        <w:rPr>
          <w:rFonts w:ascii="Verdana" w:eastAsia="Verdana" w:hAnsi="Verdana" w:cs="Verdana"/>
          <w:sz w:val="20"/>
          <w:szCs w:val="20"/>
        </w:rPr>
        <w:t>, observando-se o procedimento previsto na Lei nº 14.133, de 2021, e subsidiariamente na Lei nº. 9.784, de 1999.</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16.10.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5" w:anchor="art160">
        <w:r>
          <w:rPr>
            <w:rFonts w:ascii="Verdana" w:eastAsia="Verdana" w:hAnsi="Verdana" w:cs="Verdana"/>
            <w:sz w:val="20"/>
            <w:szCs w:val="20"/>
            <w:u w:val="single"/>
          </w:rPr>
          <w:t>art. 160, da Lei nº 14.133, de 2021</w:t>
        </w:r>
      </w:hyperlink>
      <w:r>
        <w:rPr>
          <w:rFonts w:ascii="Verdana" w:eastAsia="Verdana" w:hAnsi="Verdana" w:cs="Verdana"/>
          <w:sz w:val="20"/>
          <w:szCs w:val="20"/>
        </w:rPr>
        <w:t>).</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16.11.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Verdana" w:eastAsia="Verdana" w:hAnsi="Verdana" w:cs="Verdana"/>
          <w:sz w:val="20"/>
          <w:szCs w:val="20"/>
        </w:rPr>
        <w:t>Ceis</w:t>
      </w:r>
      <w:proofErr w:type="spellEnd"/>
      <w:r>
        <w:rPr>
          <w:rFonts w:ascii="Verdana" w:eastAsia="Verdana" w:hAnsi="Verdana" w:cs="Verdana"/>
          <w:sz w:val="20"/>
          <w:szCs w:val="20"/>
        </w:rPr>
        <w:t>) e no Cadastro Nacional de Empresas Punidas (</w:t>
      </w:r>
      <w:proofErr w:type="spellStart"/>
      <w:r>
        <w:rPr>
          <w:rFonts w:ascii="Verdana" w:eastAsia="Verdana" w:hAnsi="Verdana" w:cs="Verdana"/>
          <w:sz w:val="20"/>
          <w:szCs w:val="20"/>
        </w:rPr>
        <w:t>Cnep</w:t>
      </w:r>
      <w:proofErr w:type="spellEnd"/>
      <w:r>
        <w:rPr>
          <w:rFonts w:ascii="Verdana" w:eastAsia="Verdana" w:hAnsi="Verdana" w:cs="Verdana"/>
          <w:sz w:val="20"/>
          <w:szCs w:val="20"/>
        </w:rPr>
        <w:t>), instituídos no âmbito do Poder Executivo Federal. (</w:t>
      </w:r>
      <w:hyperlink r:id="rId46" w:anchor="art161">
        <w:r>
          <w:rPr>
            <w:rFonts w:ascii="Verdana" w:eastAsia="Verdana" w:hAnsi="Verdana" w:cs="Verdana"/>
            <w:sz w:val="20"/>
            <w:szCs w:val="20"/>
            <w:u w:val="single"/>
          </w:rPr>
          <w:t>Art. 161, da Lei nº 14.133, de 2021</w:t>
        </w:r>
      </w:hyperlink>
      <w:r>
        <w:rPr>
          <w:rFonts w:ascii="Verdana" w:eastAsia="Verdana" w:hAnsi="Verdana" w:cs="Verdana"/>
          <w:sz w:val="20"/>
          <w:szCs w:val="20"/>
        </w:rPr>
        <w:t>).</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lastRenderedPageBreak/>
        <w:t>16.12.     As sanções de impedimento de licitar e contratar e declaração de inidoneidade para licitar ou contratar são passíveis de reabilitação na forma do</w:t>
      </w:r>
      <w:hyperlink r:id="rId47" w:anchor="163">
        <w:r>
          <w:rPr>
            <w:rFonts w:ascii="Verdana" w:eastAsia="Verdana" w:hAnsi="Verdana" w:cs="Verdana"/>
            <w:sz w:val="20"/>
            <w:szCs w:val="20"/>
          </w:rPr>
          <w:t xml:space="preserve"> </w:t>
        </w:r>
      </w:hyperlink>
      <w:hyperlink r:id="rId48" w:anchor="163">
        <w:r>
          <w:rPr>
            <w:rFonts w:ascii="Verdana" w:eastAsia="Verdana" w:hAnsi="Verdana" w:cs="Verdana"/>
            <w:sz w:val="20"/>
            <w:szCs w:val="20"/>
            <w:u w:val="single"/>
          </w:rPr>
          <w:t>art. 163 da Lei nº 14.133/21</w:t>
        </w:r>
      </w:hyperlink>
      <w:r>
        <w:rPr>
          <w:rFonts w:ascii="Verdana" w:eastAsia="Verdana" w:hAnsi="Verdana" w:cs="Verdana"/>
          <w:sz w:val="20"/>
          <w:szCs w:val="20"/>
        </w:rPr>
        <w:t>.</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16.13.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hyperlink r:id="rId49">
        <w:r>
          <w:rPr>
            <w:rFonts w:ascii="Verdana" w:eastAsia="Verdana" w:hAnsi="Verdana" w:cs="Verdana"/>
            <w:sz w:val="20"/>
            <w:szCs w:val="20"/>
          </w:rPr>
          <w:t xml:space="preserve"> </w:t>
        </w:r>
      </w:hyperlink>
      <w:hyperlink r:id="rId50">
        <w:r>
          <w:rPr>
            <w:rFonts w:ascii="Verdana" w:eastAsia="Verdana" w:hAnsi="Verdana" w:cs="Verdana"/>
            <w:sz w:val="20"/>
            <w:szCs w:val="20"/>
            <w:u w:val="single"/>
          </w:rPr>
          <w:t>Normativa SEGES/ME nº 26, de 13 de abril de 2022</w:t>
        </w:r>
      </w:hyperlink>
      <w:r>
        <w:rPr>
          <w:rFonts w:ascii="Verdana" w:eastAsia="Verdana" w:hAnsi="Verdana" w:cs="Verdana"/>
          <w:sz w:val="20"/>
          <w:szCs w:val="20"/>
        </w:rPr>
        <w:t xml:space="preserve">. </w:t>
      </w:r>
    </w:p>
    <w:p w:rsidR="00112E29" w:rsidRDefault="00112E29">
      <w:pPr>
        <w:pBdr>
          <w:top w:val="nil"/>
          <w:left w:val="nil"/>
          <w:bottom w:val="nil"/>
          <w:right w:val="nil"/>
          <w:between w:val="nil"/>
        </w:pBdr>
        <w:spacing w:line="360" w:lineRule="auto"/>
        <w:jc w:val="both"/>
        <w:rPr>
          <w:rFonts w:ascii="Verdana" w:eastAsia="Verdana" w:hAnsi="Verdana" w:cs="Verdana"/>
          <w:sz w:val="20"/>
          <w:szCs w:val="20"/>
        </w:rPr>
      </w:pPr>
    </w:p>
    <w:p w:rsidR="00112E29" w:rsidRDefault="005726C7">
      <w:pPr>
        <w:widowControl/>
        <w:tabs>
          <w:tab w:val="left" w:pos="0"/>
        </w:tabs>
        <w:spacing w:line="360" w:lineRule="auto"/>
        <w:ind w:right="-60"/>
        <w:jc w:val="both"/>
        <w:rPr>
          <w:rFonts w:ascii="Verdana" w:eastAsia="Verdana" w:hAnsi="Verdana" w:cs="Verdana"/>
          <w:b/>
          <w:sz w:val="20"/>
          <w:szCs w:val="20"/>
          <w:highlight w:val="white"/>
        </w:rPr>
      </w:pPr>
      <w:r>
        <w:rPr>
          <w:rFonts w:ascii="Verdana" w:eastAsia="Verdana" w:hAnsi="Verdana" w:cs="Verdana"/>
          <w:b/>
          <w:sz w:val="20"/>
          <w:szCs w:val="20"/>
          <w:highlight w:val="white"/>
        </w:rPr>
        <w:t>17.DA PROTEÇÃO DE DADOS PESSOAIS - Lei nº 13.709/2018 - LGPD</w:t>
      </w:r>
    </w:p>
    <w:p w:rsidR="00112E29" w:rsidRDefault="005726C7">
      <w:pPr>
        <w:widowControl/>
        <w:tabs>
          <w:tab w:val="left" w:pos="0"/>
        </w:tabs>
        <w:spacing w:line="360" w:lineRule="auto"/>
        <w:jc w:val="both"/>
        <w:rPr>
          <w:rFonts w:ascii="Verdana" w:eastAsia="Verdana" w:hAnsi="Verdana" w:cs="Verdana"/>
          <w:sz w:val="20"/>
          <w:szCs w:val="20"/>
          <w:highlight w:val="white"/>
        </w:rPr>
      </w:pPr>
      <w:r>
        <w:rPr>
          <w:rFonts w:ascii="Verdana" w:eastAsia="Verdana" w:hAnsi="Verdana" w:cs="Verdana"/>
          <w:sz w:val="20"/>
          <w:szCs w:val="20"/>
          <w:highlight w:val="white"/>
        </w:rPr>
        <w:t>17.1 Em observação às determinações constantes da</w:t>
      </w:r>
      <w:hyperlink r:id="rId51">
        <w:r>
          <w:rPr>
            <w:rFonts w:ascii="Verdana" w:eastAsia="Verdana" w:hAnsi="Verdana" w:cs="Verdana"/>
            <w:sz w:val="20"/>
            <w:szCs w:val="20"/>
            <w:highlight w:val="white"/>
          </w:rPr>
          <w:t xml:space="preserve"> </w:t>
        </w:r>
      </w:hyperlink>
      <w:hyperlink r:id="rId52">
        <w:r>
          <w:rPr>
            <w:rFonts w:ascii="Verdana" w:eastAsia="Verdana" w:hAnsi="Verdana" w:cs="Verdana"/>
            <w:sz w:val="20"/>
            <w:szCs w:val="20"/>
            <w:highlight w:val="white"/>
            <w:u w:val="single"/>
          </w:rPr>
          <w:t>Lei nº 13.709, de 14 de agosto de 2018 – LEI GERAL DE PROTEÇÃO DE DADOS (LGPD),</w:t>
        </w:r>
      </w:hyperlink>
      <w:r>
        <w:rPr>
          <w:rFonts w:ascii="Verdana" w:eastAsia="Verdana" w:hAnsi="Verdana" w:cs="Verdana"/>
          <w:sz w:val="20"/>
          <w:szCs w:val="20"/>
          <w:highlight w:val="white"/>
          <w:u w:val="single"/>
        </w:rPr>
        <w:t xml:space="preserve"> </w:t>
      </w:r>
      <w:r>
        <w:rPr>
          <w:rFonts w:ascii="Verdana" w:eastAsia="Verdana" w:hAnsi="Verdana" w:cs="Verdana"/>
          <w:sz w:val="20"/>
          <w:szCs w:val="20"/>
          <w:highlight w:val="white"/>
        </w:rPr>
        <w:t>o CONTRATANTE e a CONTRATADA se comprometem a proteger os direitos fundamentais de liberdade e de privacidade e o livre desenvolvimento da personalidade da pessoa natural, relativos ao tratamento de dados pessoais, inclusive nos meios digitais, garantindo que:</w:t>
      </w:r>
    </w:p>
    <w:p w:rsidR="00112E29" w:rsidRDefault="005726C7">
      <w:pPr>
        <w:widowControl/>
        <w:tabs>
          <w:tab w:val="left" w:pos="551"/>
        </w:tabs>
        <w:spacing w:line="360" w:lineRule="auto"/>
        <w:ind w:firstLine="566"/>
        <w:jc w:val="both"/>
        <w:rPr>
          <w:rFonts w:ascii="Verdana" w:eastAsia="Verdana" w:hAnsi="Verdana" w:cs="Verdana"/>
          <w:sz w:val="20"/>
          <w:szCs w:val="20"/>
          <w:highlight w:val="white"/>
        </w:rPr>
      </w:pPr>
      <w:r>
        <w:rPr>
          <w:rFonts w:ascii="Verdana" w:eastAsia="Verdana" w:hAnsi="Verdana" w:cs="Verdana"/>
          <w:sz w:val="20"/>
          <w:szCs w:val="20"/>
        </w:rPr>
        <w:t xml:space="preserve">a. </w:t>
      </w:r>
      <w:r>
        <w:rPr>
          <w:rFonts w:ascii="Verdana" w:eastAsia="Verdana" w:hAnsi="Verdana" w:cs="Verdana"/>
          <w:sz w:val="20"/>
          <w:szCs w:val="20"/>
          <w:highlight w:val="white"/>
        </w:rPr>
        <w:t xml:space="preserve">O tratamento de dados pessoais dar-se-á de acordo com as bases legais previstas nas hipóteses dos </w:t>
      </w:r>
      <w:proofErr w:type="spellStart"/>
      <w:r>
        <w:rPr>
          <w:rFonts w:ascii="Verdana" w:eastAsia="Verdana" w:hAnsi="Verdana" w:cs="Verdana"/>
          <w:sz w:val="20"/>
          <w:szCs w:val="20"/>
          <w:highlight w:val="white"/>
        </w:rPr>
        <w:t>Arts</w:t>
      </w:r>
      <w:proofErr w:type="spellEnd"/>
      <w:r>
        <w:rPr>
          <w:rFonts w:ascii="Verdana" w:eastAsia="Verdana" w:hAnsi="Verdana" w:cs="Verdana"/>
          <w:sz w:val="20"/>
          <w:szCs w:val="20"/>
          <w:highlight w:val="white"/>
        </w:rPr>
        <w:t>. 7º e/ou 11 da Lei 13.709/2018 às quais se submeterão os serviços, e para propósitos legítimos, específicos, explícitos e informados ao titular;</w:t>
      </w:r>
    </w:p>
    <w:p w:rsidR="00112E29" w:rsidRDefault="005726C7">
      <w:pPr>
        <w:widowControl/>
        <w:tabs>
          <w:tab w:val="left" w:pos="551"/>
        </w:tabs>
        <w:spacing w:line="360" w:lineRule="auto"/>
        <w:jc w:val="both"/>
        <w:rPr>
          <w:rFonts w:ascii="Verdana" w:eastAsia="Verdana" w:hAnsi="Verdana" w:cs="Verdana"/>
          <w:sz w:val="20"/>
          <w:szCs w:val="20"/>
          <w:highlight w:val="white"/>
        </w:rPr>
      </w:pPr>
      <w:r>
        <w:rPr>
          <w:rFonts w:ascii="Verdana" w:eastAsia="Verdana" w:hAnsi="Verdana" w:cs="Verdana"/>
          <w:sz w:val="20"/>
          <w:szCs w:val="20"/>
        </w:rPr>
        <w:t xml:space="preserve">b. </w:t>
      </w:r>
      <w:r>
        <w:rPr>
          <w:rFonts w:ascii="Verdana" w:eastAsia="Verdana" w:hAnsi="Verdana" w:cs="Verdana"/>
          <w:sz w:val="20"/>
          <w:szCs w:val="20"/>
          <w:highlight w:val="white"/>
        </w:rPr>
        <w:t>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rsidR="00112E29" w:rsidRDefault="005726C7">
      <w:pPr>
        <w:widowControl/>
        <w:tabs>
          <w:tab w:val="left" w:pos="551"/>
        </w:tabs>
        <w:spacing w:line="360" w:lineRule="auto"/>
        <w:jc w:val="both"/>
        <w:rPr>
          <w:rFonts w:ascii="Verdana" w:eastAsia="Verdana" w:hAnsi="Verdana" w:cs="Verdana"/>
          <w:sz w:val="20"/>
          <w:szCs w:val="20"/>
          <w:highlight w:val="white"/>
        </w:rPr>
      </w:pPr>
      <w:r>
        <w:rPr>
          <w:rFonts w:ascii="Verdana" w:eastAsia="Verdana" w:hAnsi="Verdana" w:cs="Verdana"/>
          <w:sz w:val="20"/>
          <w:szCs w:val="20"/>
        </w:rPr>
        <w:t xml:space="preserve">c. </w:t>
      </w:r>
      <w:r>
        <w:rPr>
          <w:rFonts w:ascii="Verdana" w:eastAsia="Verdana" w:hAnsi="Verdana" w:cs="Verdana"/>
          <w:sz w:val="20"/>
          <w:szCs w:val="20"/>
          <w:highlight w:val="white"/>
        </w:rPr>
        <w:t>Em caso de necessidade de coleta de dados pessoais indispensáveis à própria prestação do serviço/aquisição de bens, esta será realizada mediante prévia aprovação da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rsidR="00112E29" w:rsidRDefault="005726C7">
      <w:pPr>
        <w:widowControl/>
        <w:tabs>
          <w:tab w:val="left" w:pos="551"/>
        </w:tabs>
        <w:spacing w:line="360" w:lineRule="auto"/>
        <w:jc w:val="both"/>
        <w:rPr>
          <w:rFonts w:ascii="Verdana" w:eastAsia="Verdana" w:hAnsi="Verdana" w:cs="Verdana"/>
          <w:sz w:val="20"/>
          <w:szCs w:val="20"/>
          <w:highlight w:val="white"/>
        </w:rPr>
      </w:pPr>
      <w:r>
        <w:rPr>
          <w:rFonts w:ascii="Verdana" w:eastAsia="Verdana" w:hAnsi="Verdana" w:cs="Verdana"/>
          <w:sz w:val="20"/>
          <w:szCs w:val="20"/>
        </w:rPr>
        <w:t xml:space="preserve">d. </w:t>
      </w:r>
      <w:r>
        <w:rPr>
          <w:rFonts w:ascii="Verdana" w:eastAsia="Verdana" w:hAnsi="Verdana" w:cs="Verdana"/>
          <w:sz w:val="20"/>
          <w:szCs w:val="20"/>
          <w:highlight w:val="white"/>
        </w:rPr>
        <w:t xml:space="preserve">Eventualmente, as partes podem ajustar que a CONTRATADA será responsável por obter o consentimento dos titulares, observadas as demais condicionantes do item </w:t>
      </w:r>
      <w:r>
        <w:rPr>
          <w:rFonts w:ascii="Verdana" w:eastAsia="Verdana" w:hAnsi="Verdana" w:cs="Verdana"/>
          <w:i/>
          <w:sz w:val="20"/>
          <w:szCs w:val="20"/>
          <w:highlight w:val="white"/>
        </w:rPr>
        <w:t>C</w:t>
      </w:r>
      <w:r>
        <w:rPr>
          <w:rFonts w:ascii="Verdana" w:eastAsia="Verdana" w:hAnsi="Verdana" w:cs="Verdana"/>
          <w:sz w:val="20"/>
          <w:szCs w:val="20"/>
          <w:highlight w:val="white"/>
        </w:rPr>
        <w:t xml:space="preserve"> acima;</w:t>
      </w:r>
    </w:p>
    <w:p w:rsidR="00112E29" w:rsidRDefault="005726C7">
      <w:pPr>
        <w:widowControl/>
        <w:tabs>
          <w:tab w:val="left" w:pos="551"/>
        </w:tabs>
        <w:spacing w:line="360" w:lineRule="auto"/>
        <w:jc w:val="both"/>
        <w:rPr>
          <w:rFonts w:ascii="Verdana" w:eastAsia="Verdana" w:hAnsi="Verdana" w:cs="Verdana"/>
          <w:sz w:val="20"/>
          <w:szCs w:val="20"/>
          <w:highlight w:val="white"/>
        </w:rPr>
      </w:pPr>
      <w:r>
        <w:rPr>
          <w:rFonts w:ascii="Verdana" w:eastAsia="Verdana" w:hAnsi="Verdana" w:cs="Verdana"/>
          <w:sz w:val="20"/>
          <w:szCs w:val="20"/>
        </w:rPr>
        <w:t xml:space="preserve">e. </w:t>
      </w:r>
      <w:r>
        <w:rPr>
          <w:rFonts w:ascii="Verdana" w:eastAsia="Verdana" w:hAnsi="Verdana" w:cs="Verdana"/>
          <w:sz w:val="20"/>
          <w:szCs w:val="20"/>
          <w:highlight w:val="white"/>
        </w:rPr>
        <w:t>Os dados obtidos em razão desse contrato serão armazenados em um banco de dados seguro, com garantia de registro das transações realizadas na aplicação de acesso (log) e adequado controle de acesso baseado em função (</w:t>
      </w:r>
      <w:r>
        <w:rPr>
          <w:rFonts w:ascii="Verdana" w:eastAsia="Verdana" w:hAnsi="Verdana" w:cs="Verdana"/>
          <w:i/>
          <w:sz w:val="20"/>
          <w:szCs w:val="20"/>
          <w:highlight w:val="white"/>
        </w:rPr>
        <w:t xml:space="preserve">role </w:t>
      </w:r>
      <w:proofErr w:type="spellStart"/>
      <w:r>
        <w:rPr>
          <w:rFonts w:ascii="Verdana" w:eastAsia="Verdana" w:hAnsi="Verdana" w:cs="Verdana"/>
          <w:i/>
          <w:sz w:val="20"/>
          <w:szCs w:val="20"/>
          <w:highlight w:val="white"/>
        </w:rPr>
        <w:t>based</w:t>
      </w:r>
      <w:proofErr w:type="spellEnd"/>
      <w:r>
        <w:rPr>
          <w:rFonts w:ascii="Verdana" w:eastAsia="Verdana" w:hAnsi="Verdana" w:cs="Verdana"/>
          <w:i/>
          <w:sz w:val="20"/>
          <w:szCs w:val="20"/>
          <w:highlight w:val="white"/>
        </w:rPr>
        <w:t xml:space="preserve"> </w:t>
      </w:r>
      <w:proofErr w:type="spellStart"/>
      <w:r>
        <w:rPr>
          <w:rFonts w:ascii="Verdana" w:eastAsia="Verdana" w:hAnsi="Verdana" w:cs="Verdana"/>
          <w:i/>
          <w:sz w:val="20"/>
          <w:szCs w:val="20"/>
          <w:highlight w:val="white"/>
        </w:rPr>
        <w:t>access</w:t>
      </w:r>
      <w:proofErr w:type="spellEnd"/>
      <w:r>
        <w:rPr>
          <w:rFonts w:ascii="Verdana" w:eastAsia="Verdana" w:hAnsi="Verdana" w:cs="Verdana"/>
          <w:i/>
          <w:sz w:val="20"/>
          <w:szCs w:val="20"/>
          <w:highlight w:val="white"/>
        </w:rPr>
        <w:t xml:space="preserve"> </w:t>
      </w:r>
      <w:proofErr w:type="spellStart"/>
      <w:r>
        <w:rPr>
          <w:rFonts w:ascii="Verdana" w:eastAsia="Verdana" w:hAnsi="Verdana" w:cs="Verdana"/>
          <w:i/>
          <w:sz w:val="20"/>
          <w:szCs w:val="20"/>
          <w:highlight w:val="white"/>
        </w:rPr>
        <w:t>control</w:t>
      </w:r>
      <w:proofErr w:type="spellEnd"/>
      <w:r>
        <w:rPr>
          <w:rFonts w:ascii="Verdana" w:eastAsia="Verdana" w:hAnsi="Verdana" w:cs="Verdana"/>
          <w:sz w:val="20"/>
          <w:szCs w:val="20"/>
          <w:highlight w:val="white"/>
        </w:rPr>
        <w:t xml:space="preserve">) e com transparente identificação do perfil dos credenciados, tudo estabelecido como forma de </w:t>
      </w:r>
      <w:r>
        <w:rPr>
          <w:rFonts w:ascii="Verdana" w:eastAsia="Verdana" w:hAnsi="Verdana" w:cs="Verdana"/>
          <w:sz w:val="20"/>
          <w:szCs w:val="20"/>
          <w:highlight w:val="white"/>
        </w:rPr>
        <w:lastRenderedPageBreak/>
        <w:t>garantir inclusive a rastreabilidade de cada transação e a franca apuração, a qualquer momento, de desvios e falhas, vedado o compartilhamento desses dados com terceiros;</w:t>
      </w:r>
    </w:p>
    <w:p w:rsidR="00112E29" w:rsidRDefault="005726C7">
      <w:pPr>
        <w:widowControl/>
        <w:tabs>
          <w:tab w:val="left" w:pos="551"/>
        </w:tabs>
        <w:spacing w:line="360" w:lineRule="auto"/>
        <w:jc w:val="both"/>
        <w:rPr>
          <w:rFonts w:ascii="Verdana" w:eastAsia="Verdana" w:hAnsi="Verdana" w:cs="Verdana"/>
          <w:sz w:val="20"/>
          <w:szCs w:val="20"/>
          <w:highlight w:val="white"/>
        </w:rPr>
      </w:pPr>
      <w:r>
        <w:rPr>
          <w:rFonts w:ascii="Verdana" w:eastAsia="Verdana" w:hAnsi="Verdana" w:cs="Verdana"/>
          <w:sz w:val="20"/>
          <w:szCs w:val="20"/>
        </w:rPr>
        <w:t xml:space="preserve">f.  </w:t>
      </w:r>
      <w:r>
        <w:rPr>
          <w:rFonts w:ascii="Verdana" w:eastAsia="Verdana" w:hAnsi="Verdana" w:cs="Verdana"/>
          <w:sz w:val="20"/>
          <w:szCs w:val="20"/>
          <w:highlight w:val="white"/>
        </w:rPr>
        <w:t>Encerrada a vigência do contrato ou não havendo mais necessidade de utilização dos dados pessoais, sejam eles sensíveis ou não, a CONTRATADA interromperá o tratamento dos Dados Pessoais disponibilizados pela CONTRATANTE e, em no máximo (30) dias, sob instruções e na medida do determinado pela CONTRATANTE, eliminará completamente os Dados Pessoais e todas as cópias porventura existentes (seja em formato digital ou físico), salvo quando a CONTRATADA tenha que manter os dados para cumprimento de obrigação legal ou outra hipótese da LGPD.</w:t>
      </w:r>
    </w:p>
    <w:p w:rsidR="00112E29" w:rsidRDefault="005726C7">
      <w:pPr>
        <w:widowControl/>
        <w:tabs>
          <w:tab w:val="left" w:pos="0"/>
        </w:tabs>
        <w:spacing w:line="360" w:lineRule="auto"/>
        <w:jc w:val="both"/>
        <w:rPr>
          <w:rFonts w:ascii="Verdana" w:eastAsia="Verdana" w:hAnsi="Verdana" w:cs="Verdana"/>
          <w:sz w:val="20"/>
          <w:szCs w:val="20"/>
          <w:highlight w:val="white"/>
        </w:rPr>
      </w:pPr>
      <w:r>
        <w:rPr>
          <w:rFonts w:ascii="Verdana" w:eastAsia="Verdana" w:hAnsi="Verdana" w:cs="Verdana"/>
          <w:sz w:val="20"/>
          <w:szCs w:val="20"/>
          <w:highlight w:val="white"/>
        </w:rPr>
        <w:t>17.2 A CONTRATADA dará conhecimento formal aos seus empregados das obrigações e condições acordadas nesta cláusula, inclusive no tocante à Política de Privacidade da CONTRATANTE, cujos princípios deverão ser aplicados à coleta e tratamento dos dados pessoais de que trata a presente cláusula.</w:t>
      </w:r>
    </w:p>
    <w:p w:rsidR="00112E29" w:rsidRDefault="005726C7">
      <w:pPr>
        <w:widowControl/>
        <w:tabs>
          <w:tab w:val="left" w:pos="0"/>
        </w:tabs>
        <w:spacing w:line="360" w:lineRule="auto"/>
        <w:jc w:val="both"/>
        <w:rPr>
          <w:rFonts w:ascii="Verdana" w:eastAsia="Verdana" w:hAnsi="Verdana" w:cs="Verdana"/>
          <w:sz w:val="20"/>
          <w:szCs w:val="20"/>
          <w:highlight w:val="white"/>
        </w:rPr>
      </w:pPr>
      <w:r>
        <w:rPr>
          <w:rFonts w:ascii="Verdana" w:eastAsia="Verdana" w:hAnsi="Verdana" w:cs="Verdana"/>
          <w:sz w:val="20"/>
          <w:szCs w:val="20"/>
          <w:highlight w:val="white"/>
        </w:rPr>
        <w:t>17.3 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112E29" w:rsidRDefault="005726C7">
      <w:pPr>
        <w:widowControl/>
        <w:tabs>
          <w:tab w:val="left" w:pos="0"/>
        </w:tabs>
        <w:spacing w:line="360" w:lineRule="auto"/>
        <w:jc w:val="both"/>
        <w:rPr>
          <w:rFonts w:ascii="Verdana" w:eastAsia="Verdana" w:hAnsi="Verdana" w:cs="Verdana"/>
          <w:sz w:val="20"/>
          <w:szCs w:val="20"/>
          <w:highlight w:val="white"/>
        </w:rPr>
      </w:pPr>
      <w:r>
        <w:rPr>
          <w:rFonts w:ascii="Verdana" w:eastAsia="Verdana" w:hAnsi="Verdana" w:cs="Verdana"/>
          <w:sz w:val="20"/>
          <w:szCs w:val="20"/>
          <w:highlight w:val="white"/>
        </w:rPr>
        <w:t>17.4 A CONTRATADA cooperará com a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rsidR="00112E29" w:rsidRDefault="005726C7">
      <w:pPr>
        <w:widowControl/>
        <w:tabs>
          <w:tab w:val="left" w:pos="0"/>
        </w:tabs>
        <w:spacing w:line="360" w:lineRule="auto"/>
        <w:jc w:val="both"/>
        <w:rPr>
          <w:rFonts w:ascii="Verdana" w:eastAsia="Verdana" w:hAnsi="Verdana" w:cs="Verdana"/>
          <w:sz w:val="20"/>
          <w:szCs w:val="20"/>
          <w:highlight w:val="white"/>
        </w:rPr>
      </w:pPr>
      <w:r>
        <w:rPr>
          <w:rFonts w:ascii="Verdana" w:eastAsia="Verdana" w:hAnsi="Verdana" w:cs="Verdana"/>
          <w:sz w:val="20"/>
          <w:szCs w:val="20"/>
          <w:highlight w:val="white"/>
        </w:rPr>
        <w:t>17.5 A CONTRATADA deverá informar imediatamente à CONTRATANTE quando receber uma solicitação de um Titular de Dados, a respeito dos seus Dados Pessoais e abster-se de responder qualquer solicitação em relação aos Dados Pessoais do solicitante, exceto nas instruções documentadas da CONTRATANTE ou conforme exigido pela LGPD e Leis e Regulamentos de Proteção de Dados em vigor.</w:t>
      </w:r>
    </w:p>
    <w:p w:rsidR="00112E29" w:rsidRDefault="005726C7">
      <w:pPr>
        <w:widowControl/>
        <w:tabs>
          <w:tab w:val="left" w:pos="0"/>
        </w:tabs>
        <w:spacing w:line="360" w:lineRule="auto"/>
        <w:jc w:val="both"/>
        <w:rPr>
          <w:rFonts w:ascii="Verdana" w:eastAsia="Verdana" w:hAnsi="Verdana" w:cs="Verdana"/>
          <w:sz w:val="20"/>
          <w:szCs w:val="20"/>
          <w:highlight w:val="white"/>
        </w:rPr>
      </w:pPr>
      <w:r>
        <w:rPr>
          <w:rFonts w:ascii="Verdana" w:eastAsia="Verdana" w:hAnsi="Verdana" w:cs="Verdana"/>
          <w:sz w:val="20"/>
          <w:szCs w:val="20"/>
          <w:highlight w:val="white"/>
        </w:rPr>
        <w:t>17.6 O “Encarregado” ou “DPO” da CONTRATADA manterá contato formal com o Encarregado da CONTRATANTE, no prazo de 24 (vinte e quatro) horas da ocorrência de qualquer incidente que implique violação ou risco de violação de dados pessoais, para que este possa adotar as providências devidas, na hipótese de questionamento das autoridades competentes.</w:t>
      </w:r>
    </w:p>
    <w:p w:rsidR="00112E29" w:rsidRDefault="005726C7">
      <w:pPr>
        <w:widowControl/>
        <w:tabs>
          <w:tab w:val="left" w:pos="0"/>
        </w:tabs>
        <w:spacing w:line="360" w:lineRule="auto"/>
        <w:jc w:val="both"/>
        <w:rPr>
          <w:rFonts w:ascii="Verdana" w:eastAsia="Verdana" w:hAnsi="Verdana" w:cs="Verdana"/>
          <w:sz w:val="20"/>
          <w:szCs w:val="20"/>
          <w:highlight w:val="white"/>
        </w:rPr>
      </w:pPr>
      <w:r>
        <w:rPr>
          <w:rFonts w:ascii="Verdana" w:eastAsia="Verdana" w:hAnsi="Verdana" w:cs="Verdana"/>
          <w:sz w:val="20"/>
          <w:szCs w:val="20"/>
          <w:highlight w:val="white"/>
        </w:rPr>
        <w:t>17.7 A critério do Encarregado de Dados da CONTRATANTE, a CONTRATADA poderá ser provocada a colaborar na elaboração do relatório de impacto (DPIA), conforme a sensibilidade e o risco inerente do objeto deste contrato, no tocante a dados pessoais.</w:t>
      </w:r>
    </w:p>
    <w:p w:rsidR="00112E29" w:rsidRDefault="005726C7">
      <w:pPr>
        <w:widowControl/>
        <w:tabs>
          <w:tab w:val="left" w:pos="0"/>
        </w:tabs>
        <w:spacing w:line="360" w:lineRule="auto"/>
        <w:ind w:right="284"/>
        <w:jc w:val="both"/>
        <w:rPr>
          <w:rFonts w:ascii="Verdana" w:eastAsia="Verdana" w:hAnsi="Verdana" w:cs="Verdana"/>
          <w:sz w:val="20"/>
          <w:szCs w:val="20"/>
          <w:highlight w:val="white"/>
        </w:rPr>
      </w:pPr>
      <w:r>
        <w:rPr>
          <w:rFonts w:ascii="Verdana" w:eastAsia="Verdana" w:hAnsi="Verdana" w:cs="Verdana"/>
          <w:sz w:val="20"/>
          <w:szCs w:val="20"/>
          <w:highlight w:val="white"/>
        </w:rPr>
        <w:t>17.8</w:t>
      </w:r>
      <w:proofErr w:type="gramStart"/>
      <w:r>
        <w:rPr>
          <w:rFonts w:ascii="Verdana" w:eastAsia="Verdana" w:hAnsi="Verdana" w:cs="Verdana"/>
          <w:sz w:val="20"/>
          <w:szCs w:val="20"/>
          <w:highlight w:val="white"/>
        </w:rPr>
        <w:t xml:space="preserve">  </w:t>
      </w:r>
      <w:proofErr w:type="gramEnd"/>
      <w:r>
        <w:rPr>
          <w:rFonts w:ascii="Verdana" w:eastAsia="Verdana" w:hAnsi="Verdana" w:cs="Verdana"/>
          <w:sz w:val="20"/>
          <w:szCs w:val="20"/>
          <w:highlight w:val="white"/>
        </w:rPr>
        <w:t>Eventuais responsabilidades das partes, serão apuradas conforme estabelecido neste contrato e também de acordo com o que dispõe a Seção III do Capítulo VI, bem como Capítulo VII e Seção I do capítulo VIII da LGPD.</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 xml:space="preserve">18. VALOR ESTIMADO DA AQUISIÇÃO: </w:t>
      </w:r>
      <w:r>
        <w:rPr>
          <w:rFonts w:ascii="Verdana" w:eastAsia="Verdana" w:hAnsi="Verdana" w:cs="Verdana"/>
          <w:sz w:val="20"/>
          <w:szCs w:val="20"/>
        </w:rPr>
        <w:t>Conforme anexo I.</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sz w:val="20"/>
          <w:szCs w:val="20"/>
        </w:rPr>
        <w:t xml:space="preserve">18.1. No preço ofertado deverão estar inclusas todas as despesas, bem como todos os tributos, </w:t>
      </w:r>
      <w:r>
        <w:rPr>
          <w:rFonts w:ascii="Verdana" w:eastAsia="Verdana" w:hAnsi="Verdana" w:cs="Verdana"/>
          <w:b/>
          <w:sz w:val="20"/>
          <w:szCs w:val="20"/>
        </w:rPr>
        <w:t>inclusive Diferencial de Alíquota de ICMS-DIFAL, se for o caso,</w:t>
      </w:r>
      <w:proofErr w:type="gramStart"/>
      <w:r>
        <w:rPr>
          <w:rFonts w:ascii="Verdana" w:eastAsia="Verdana" w:hAnsi="Verdana" w:cs="Verdana"/>
          <w:sz w:val="20"/>
          <w:szCs w:val="20"/>
        </w:rPr>
        <w:t xml:space="preserve">  </w:t>
      </w:r>
      <w:proofErr w:type="gramEnd"/>
      <w:r>
        <w:rPr>
          <w:rFonts w:ascii="Verdana" w:eastAsia="Verdana" w:hAnsi="Verdana" w:cs="Verdana"/>
          <w:sz w:val="20"/>
          <w:szCs w:val="20"/>
        </w:rPr>
        <w:t>fretes, seguros e demais encargos necessários à completa execução do objeto.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b/>
          <w:sz w:val="20"/>
          <w:szCs w:val="20"/>
        </w:rPr>
      </w:pPr>
      <w:r>
        <w:rPr>
          <w:rFonts w:ascii="Verdana" w:eastAsia="Verdana" w:hAnsi="Verdana" w:cs="Verdana"/>
          <w:sz w:val="20"/>
          <w:szCs w:val="20"/>
        </w:rPr>
        <w:t xml:space="preserve">18.2. </w:t>
      </w:r>
      <w:r>
        <w:rPr>
          <w:rFonts w:ascii="Verdana" w:eastAsia="Verdana" w:hAnsi="Verdana" w:cs="Verdana"/>
          <w:b/>
          <w:sz w:val="20"/>
          <w:szCs w:val="20"/>
        </w:rPr>
        <w:t>Critérios de aceitabilidade de preços:</w:t>
      </w:r>
      <w:r>
        <w:rPr>
          <w:rFonts w:ascii="Verdana" w:eastAsia="Verdana" w:hAnsi="Verdana" w:cs="Verdana"/>
          <w:sz w:val="20"/>
          <w:szCs w:val="20"/>
        </w:rPr>
        <w:t xml:space="preserve"> Os preços estimados, tanto unitário como global, correspondem aos máximos que este Tribunal se dispõe a pagar, de forma que as propostas com valores superiores serão desclassificadas.</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b/>
          <w:sz w:val="20"/>
          <w:szCs w:val="20"/>
        </w:rPr>
        <w:t>19</w:t>
      </w:r>
      <w:r>
        <w:rPr>
          <w:rFonts w:ascii="Verdana" w:eastAsia="Verdana" w:hAnsi="Verdana" w:cs="Verdana"/>
          <w:sz w:val="20"/>
          <w:szCs w:val="20"/>
        </w:rPr>
        <w:t>.</w:t>
      </w:r>
      <w:r>
        <w:rPr>
          <w:rFonts w:ascii="Verdana" w:eastAsia="Verdana" w:hAnsi="Verdana" w:cs="Verdana"/>
          <w:b/>
          <w:sz w:val="20"/>
          <w:szCs w:val="20"/>
        </w:rPr>
        <w:t xml:space="preserve"> IMPACTO ORÇAMENTÁRIO NOS DOIS EXERCÍCIOS FINANCEIROS SUBSEQUENTES: </w:t>
      </w:r>
      <w:r>
        <w:rPr>
          <w:rFonts w:ascii="Verdana" w:eastAsia="Verdana" w:hAnsi="Verdana" w:cs="Verdana"/>
          <w:sz w:val="20"/>
          <w:szCs w:val="20"/>
        </w:rPr>
        <w:t>Haverá impacto, tendo em vista se tratar de contratação continuada.</w:t>
      </w:r>
    </w:p>
    <w:p w:rsidR="00112E29" w:rsidRDefault="00112E29">
      <w:pPr>
        <w:widowControl/>
        <w:tabs>
          <w:tab w:val="left" w:pos="0"/>
        </w:tabs>
        <w:spacing w:line="360" w:lineRule="auto"/>
        <w:ind w:right="284"/>
        <w:jc w:val="both"/>
        <w:rPr>
          <w:rFonts w:ascii="Verdana" w:eastAsia="Verdana" w:hAnsi="Verdana" w:cs="Verdana"/>
          <w:b/>
          <w:sz w:val="20"/>
          <w:szCs w:val="20"/>
        </w:rPr>
      </w:pPr>
    </w:p>
    <w:p w:rsidR="00112E29" w:rsidRDefault="005726C7">
      <w:pPr>
        <w:widowControl/>
        <w:tabs>
          <w:tab w:val="left" w:pos="0"/>
        </w:tabs>
        <w:spacing w:line="360" w:lineRule="auto"/>
        <w:ind w:right="284"/>
        <w:jc w:val="both"/>
        <w:rPr>
          <w:rFonts w:ascii="Verdana" w:eastAsia="Verdana" w:hAnsi="Verdana" w:cs="Verdana"/>
          <w:b/>
          <w:sz w:val="20"/>
          <w:szCs w:val="20"/>
        </w:rPr>
      </w:pPr>
      <w:r>
        <w:rPr>
          <w:rFonts w:ascii="Verdana" w:eastAsia="Verdana" w:hAnsi="Verdana" w:cs="Verdana"/>
          <w:b/>
          <w:sz w:val="20"/>
          <w:szCs w:val="20"/>
        </w:rPr>
        <w:t>20. ADEQUAÇÃO ORÇAMENTÁRIA</w:t>
      </w:r>
    </w:p>
    <w:p w:rsidR="00112E29" w:rsidRDefault="005726C7">
      <w:pPr>
        <w:widowControl/>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20.1. As despesas decorrentes da presente contratação correrão à conta de recursos específicos consignados no Orçamento Geral da União, conforme a natureza de despesa 3390 30 - MATERIAL DE CONSUMO, atividade 15.108.02.122.0033.4256.0023 APRECIAÇÃO DE CAUSAS NA JUSTIÇA DO constante da – TRABALHO, PO 0000 – APRECIAÇÃO DE CAUSAS NA JUSTIÇA DO TRABALHO.</w:t>
      </w:r>
    </w:p>
    <w:p w:rsidR="00112E29" w:rsidRDefault="00112E29">
      <w:pPr>
        <w:widowControl/>
        <w:pBdr>
          <w:top w:val="nil"/>
          <w:left w:val="nil"/>
          <w:bottom w:val="nil"/>
          <w:right w:val="nil"/>
          <w:between w:val="nil"/>
        </w:pBdr>
        <w:tabs>
          <w:tab w:val="left" w:pos="0"/>
        </w:tabs>
        <w:spacing w:line="360" w:lineRule="auto"/>
        <w:ind w:right="-57"/>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s>
        <w:spacing w:line="360" w:lineRule="auto"/>
        <w:ind w:right="-57"/>
        <w:jc w:val="both"/>
        <w:rPr>
          <w:rFonts w:ascii="Verdana" w:eastAsia="Verdana" w:hAnsi="Verdana" w:cs="Verdana"/>
          <w:b/>
          <w:sz w:val="20"/>
          <w:szCs w:val="20"/>
        </w:rPr>
      </w:pPr>
      <w:r>
        <w:rPr>
          <w:rFonts w:ascii="Verdana" w:eastAsia="Verdana" w:hAnsi="Verdana" w:cs="Verdana"/>
          <w:b/>
          <w:sz w:val="20"/>
          <w:szCs w:val="20"/>
        </w:rPr>
        <w:t>21. São anexos a este TR:</w:t>
      </w:r>
    </w:p>
    <w:p w:rsidR="00112E29" w:rsidRDefault="005726C7">
      <w:pPr>
        <w:widowControl/>
        <w:pBdr>
          <w:top w:val="nil"/>
          <w:left w:val="nil"/>
          <w:bottom w:val="nil"/>
          <w:right w:val="nil"/>
          <w:between w:val="nil"/>
        </w:pBdr>
        <w:tabs>
          <w:tab w:val="left" w:pos="0"/>
        </w:tabs>
        <w:spacing w:line="360" w:lineRule="auto"/>
        <w:ind w:right="-57"/>
        <w:jc w:val="both"/>
        <w:rPr>
          <w:rFonts w:ascii="Verdana" w:eastAsia="Verdana" w:hAnsi="Verdana" w:cs="Verdana"/>
          <w:sz w:val="20"/>
          <w:szCs w:val="20"/>
        </w:rPr>
      </w:pPr>
      <w:r>
        <w:rPr>
          <w:rFonts w:ascii="Verdana" w:eastAsia="Verdana" w:hAnsi="Verdana" w:cs="Verdana"/>
          <w:sz w:val="20"/>
          <w:szCs w:val="20"/>
        </w:rPr>
        <w:t>ANEXO I –VALOR ESTIMADO</w:t>
      </w:r>
    </w:p>
    <w:p w:rsidR="00112E29" w:rsidRDefault="005726C7">
      <w:pPr>
        <w:widowControl/>
        <w:pBdr>
          <w:top w:val="nil"/>
          <w:left w:val="nil"/>
          <w:bottom w:val="nil"/>
          <w:right w:val="nil"/>
          <w:between w:val="nil"/>
        </w:pBdr>
        <w:tabs>
          <w:tab w:val="left" w:pos="0"/>
        </w:tabs>
        <w:spacing w:line="360" w:lineRule="auto"/>
        <w:ind w:right="-57"/>
        <w:jc w:val="both"/>
        <w:rPr>
          <w:rFonts w:ascii="Verdana" w:eastAsia="Verdana" w:hAnsi="Verdana" w:cs="Verdana"/>
          <w:sz w:val="20"/>
          <w:szCs w:val="20"/>
        </w:rPr>
      </w:pPr>
      <w:r>
        <w:rPr>
          <w:rFonts w:ascii="Verdana" w:eastAsia="Verdana" w:hAnsi="Verdana" w:cs="Verdana"/>
          <w:sz w:val="20"/>
          <w:szCs w:val="20"/>
        </w:rPr>
        <w:t>ANEXO II – MODELOS DE DECLARAÇÕES</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 xml:space="preserve"> Fortaleza (CE), 05 de junho de 2024.</w:t>
      </w:r>
    </w:p>
    <w:p w:rsidR="00112E29" w:rsidRDefault="00112E29">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LUIZ CARLOS MACHADO</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pPr>
      <w:r>
        <w:rPr>
          <w:rFonts w:ascii="Verdana" w:eastAsia="Verdana" w:hAnsi="Verdana" w:cs="Verdana"/>
          <w:sz w:val="20"/>
          <w:szCs w:val="20"/>
        </w:rPr>
        <w:t>Diretor da Coordenadoria de Informações Funcionais</w:t>
      </w:r>
    </w:p>
    <w:p w:rsidR="00112E29" w:rsidRDefault="005726C7">
      <w:pPr>
        <w:widowControl/>
        <w:pBdr>
          <w:top w:val="nil"/>
          <w:left w:val="nil"/>
          <w:bottom w:val="nil"/>
          <w:right w:val="nil"/>
          <w:between w:val="nil"/>
        </w:pBdr>
        <w:tabs>
          <w:tab w:val="left" w:pos="0"/>
        </w:tabs>
        <w:spacing w:line="360" w:lineRule="auto"/>
        <w:ind w:right="284"/>
        <w:jc w:val="both"/>
        <w:rPr>
          <w:rFonts w:ascii="Verdana" w:eastAsia="Verdana" w:hAnsi="Verdana" w:cs="Verdana"/>
          <w:sz w:val="20"/>
          <w:szCs w:val="20"/>
        </w:rPr>
        <w:sectPr w:rsidR="00112E29">
          <w:pgSz w:w="11906" w:h="16838"/>
          <w:pgMar w:top="1417" w:right="849" w:bottom="1417" w:left="1984" w:header="0" w:footer="0" w:gutter="0"/>
          <w:pgNumType w:start="1"/>
          <w:cols w:space="720"/>
        </w:sectPr>
      </w:pPr>
      <w:r>
        <w:rPr>
          <w:rFonts w:ascii="Verdana" w:eastAsia="Verdana" w:hAnsi="Verdana" w:cs="Verdana"/>
          <w:sz w:val="20"/>
          <w:szCs w:val="20"/>
        </w:rPr>
        <w:t>TRT-7ª Região</w:t>
      </w:r>
    </w:p>
    <w:p w:rsidR="00112E29" w:rsidRDefault="00112E29">
      <w:pPr>
        <w:pStyle w:val="Ttulo2"/>
        <w:tabs>
          <w:tab w:val="left" w:pos="0"/>
        </w:tabs>
        <w:spacing w:line="360" w:lineRule="auto"/>
        <w:jc w:val="left"/>
        <w:rPr>
          <w:rFonts w:ascii="Verdana" w:eastAsia="Verdana" w:hAnsi="Verdana" w:cs="Verdana"/>
          <w:sz w:val="20"/>
          <w:szCs w:val="20"/>
          <w:u w:val="single"/>
        </w:rPr>
      </w:pPr>
    </w:p>
    <w:p w:rsidR="00112E29" w:rsidRDefault="005726C7">
      <w:pPr>
        <w:pStyle w:val="Ttulo2"/>
        <w:tabs>
          <w:tab w:val="left" w:pos="0"/>
        </w:tabs>
        <w:spacing w:line="360" w:lineRule="auto"/>
        <w:jc w:val="left"/>
        <w:rPr>
          <w:rFonts w:ascii="Verdana" w:eastAsia="Verdana" w:hAnsi="Verdana" w:cs="Verdana"/>
          <w:sz w:val="20"/>
          <w:szCs w:val="20"/>
        </w:rPr>
      </w:pP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ANEXO II</w:t>
      </w:r>
    </w:p>
    <w:p w:rsidR="00112E29" w:rsidRDefault="00112E29">
      <w:pPr>
        <w:pBdr>
          <w:top w:val="nil"/>
          <w:left w:val="nil"/>
          <w:bottom w:val="nil"/>
          <w:right w:val="nil"/>
          <w:between w:val="nil"/>
        </w:pBdr>
        <w:spacing w:line="360" w:lineRule="auto"/>
        <w:rPr>
          <w:rFonts w:ascii="Verdana" w:eastAsia="Verdana" w:hAnsi="Verdana" w:cs="Verdana"/>
          <w:sz w:val="20"/>
          <w:szCs w:val="20"/>
        </w:rPr>
      </w:pPr>
    </w:p>
    <w:p w:rsidR="00112E29" w:rsidRDefault="005726C7">
      <w:pPr>
        <w:pStyle w:val="Ttulo2"/>
        <w:tabs>
          <w:tab w:val="left" w:pos="0"/>
        </w:tabs>
        <w:spacing w:line="360" w:lineRule="auto"/>
        <w:jc w:val="left"/>
        <w:rPr>
          <w:rFonts w:ascii="Verdana" w:eastAsia="Verdana" w:hAnsi="Verdana" w:cs="Verdana"/>
          <w:sz w:val="20"/>
          <w:szCs w:val="20"/>
        </w:rPr>
      </w:pP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DECLARAÇÃO</w:t>
      </w:r>
    </w:p>
    <w:p w:rsidR="00112E29" w:rsidRDefault="00112E29">
      <w:pPr>
        <w:pBdr>
          <w:top w:val="nil"/>
          <w:left w:val="nil"/>
          <w:bottom w:val="nil"/>
          <w:right w:val="nil"/>
          <w:between w:val="nil"/>
        </w:pBdr>
        <w:spacing w:line="360" w:lineRule="auto"/>
        <w:ind w:firstLine="1134"/>
        <w:jc w:val="both"/>
        <w:rPr>
          <w:rFonts w:ascii="Verdana" w:eastAsia="Verdana" w:hAnsi="Verdana" w:cs="Verdana"/>
          <w:b/>
          <w:sz w:val="20"/>
          <w:szCs w:val="20"/>
        </w:rPr>
      </w:pPr>
    </w:p>
    <w:p w:rsidR="00112E29" w:rsidRDefault="00112E29">
      <w:pPr>
        <w:pBdr>
          <w:top w:val="nil"/>
          <w:left w:val="nil"/>
          <w:bottom w:val="nil"/>
          <w:right w:val="nil"/>
          <w:between w:val="nil"/>
        </w:pBdr>
        <w:spacing w:line="360" w:lineRule="auto"/>
        <w:jc w:val="both"/>
        <w:rPr>
          <w:rFonts w:ascii="Verdana" w:eastAsia="Verdana" w:hAnsi="Verdana" w:cs="Verdana"/>
          <w:b/>
          <w:sz w:val="20"/>
          <w:szCs w:val="20"/>
        </w:rPr>
      </w:pPr>
    </w:p>
    <w:p w:rsidR="00112E29" w:rsidRDefault="00112E29">
      <w:pPr>
        <w:pBdr>
          <w:top w:val="nil"/>
          <w:left w:val="nil"/>
          <w:bottom w:val="nil"/>
          <w:right w:val="nil"/>
          <w:between w:val="nil"/>
        </w:pBdr>
        <w:spacing w:line="360" w:lineRule="auto"/>
        <w:ind w:firstLine="1134"/>
        <w:jc w:val="both"/>
        <w:rPr>
          <w:rFonts w:ascii="Verdana" w:eastAsia="Verdana" w:hAnsi="Verdana" w:cs="Verdana"/>
          <w:b/>
          <w:sz w:val="20"/>
          <w:szCs w:val="20"/>
        </w:rPr>
      </w:pP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___________________________</w:t>
      </w:r>
      <w:r>
        <w:rPr>
          <w:rFonts w:ascii="Verdana" w:eastAsia="Verdana" w:hAnsi="Verdana" w:cs="Verdana"/>
          <w:b/>
          <w:sz w:val="20"/>
          <w:szCs w:val="20"/>
        </w:rPr>
        <w:t xml:space="preserve">, </w:t>
      </w:r>
      <w:r>
        <w:rPr>
          <w:rFonts w:ascii="Verdana" w:eastAsia="Verdana" w:hAnsi="Verdana" w:cs="Verdana"/>
          <w:sz w:val="20"/>
          <w:szCs w:val="20"/>
        </w:rPr>
        <w:t>inscrito</w:t>
      </w:r>
      <w:r>
        <w:rPr>
          <w:rFonts w:ascii="Verdana" w:eastAsia="Verdana" w:hAnsi="Verdana" w:cs="Verdana"/>
          <w:b/>
          <w:sz w:val="20"/>
          <w:szCs w:val="20"/>
        </w:rPr>
        <w:t xml:space="preserve"> </w:t>
      </w:r>
      <w:r>
        <w:rPr>
          <w:rFonts w:ascii="Verdana" w:eastAsia="Verdana" w:hAnsi="Verdana" w:cs="Verdana"/>
          <w:sz w:val="20"/>
          <w:szCs w:val="20"/>
        </w:rPr>
        <w:t>no</w:t>
      </w:r>
      <w:r>
        <w:rPr>
          <w:rFonts w:ascii="Verdana" w:eastAsia="Verdana" w:hAnsi="Verdana" w:cs="Verdana"/>
          <w:b/>
          <w:sz w:val="20"/>
          <w:szCs w:val="20"/>
        </w:rPr>
        <w:t xml:space="preserve"> </w:t>
      </w:r>
      <w:r>
        <w:rPr>
          <w:rFonts w:ascii="Verdana" w:eastAsia="Verdana" w:hAnsi="Verdana" w:cs="Verdana"/>
          <w:sz w:val="20"/>
          <w:szCs w:val="20"/>
        </w:rPr>
        <w:t xml:space="preserve">CNPJ nº ___________________, por intermédio de seu representante legal o(a) Sr(a). ..................................., portador(a) da carteira de identidade nº ........................... e do CPF nº ............................., </w:t>
      </w:r>
      <w:r>
        <w:rPr>
          <w:rFonts w:ascii="Verdana" w:eastAsia="Verdana" w:hAnsi="Verdana" w:cs="Verdana"/>
          <w:b/>
          <w:sz w:val="20"/>
          <w:szCs w:val="20"/>
        </w:rPr>
        <w:t>DECLARA</w:t>
      </w:r>
      <w:r>
        <w:rPr>
          <w:rFonts w:ascii="Verdana" w:eastAsia="Verdana" w:hAnsi="Verdana" w:cs="Verdana"/>
          <w:sz w:val="20"/>
          <w:szCs w:val="20"/>
        </w:rPr>
        <w:t>, para fins do disposto no inciso VI do artigo 68 da Lei nº 14.133/2021, de que não emprega menor de dezoito anos em trabalho noturno, perigoso ou insalubre e não emprega menor de dezesseis anos.</w:t>
      </w:r>
    </w:p>
    <w:p w:rsidR="00112E29" w:rsidRDefault="00112E29">
      <w:pPr>
        <w:pBdr>
          <w:top w:val="nil"/>
          <w:left w:val="nil"/>
          <w:bottom w:val="nil"/>
          <w:right w:val="nil"/>
          <w:between w:val="nil"/>
        </w:pBdr>
        <w:spacing w:line="360" w:lineRule="auto"/>
        <w:jc w:val="both"/>
        <w:rPr>
          <w:rFonts w:ascii="Verdana" w:eastAsia="Verdana" w:hAnsi="Verdana" w:cs="Verdana"/>
          <w:sz w:val="20"/>
          <w:szCs w:val="20"/>
        </w:rPr>
      </w:pP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Ressalva: </w:t>
      </w: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proofErr w:type="gramStart"/>
      <w:r>
        <w:rPr>
          <w:rFonts w:ascii="Verdana" w:eastAsia="Verdana" w:hAnsi="Verdana" w:cs="Verdana"/>
          <w:sz w:val="20"/>
          <w:szCs w:val="20"/>
        </w:rPr>
        <w:t xml:space="preserve">(   </w:t>
      </w:r>
      <w:proofErr w:type="gramEnd"/>
      <w:r>
        <w:rPr>
          <w:rFonts w:ascii="Verdana" w:eastAsia="Verdana" w:hAnsi="Verdana" w:cs="Verdana"/>
          <w:sz w:val="20"/>
          <w:szCs w:val="20"/>
        </w:rPr>
        <w:t xml:space="preserve">) emprega menor, a partir de quatorze anos, na condição de aprendiz </w:t>
      </w:r>
    </w:p>
    <w:p w:rsidR="00112E29" w:rsidRDefault="00112E29">
      <w:pPr>
        <w:pBdr>
          <w:top w:val="nil"/>
          <w:left w:val="nil"/>
          <w:bottom w:val="nil"/>
          <w:right w:val="nil"/>
          <w:between w:val="nil"/>
        </w:pBdr>
        <w:spacing w:line="360" w:lineRule="auto"/>
        <w:ind w:firstLine="1134"/>
        <w:jc w:val="both"/>
        <w:rPr>
          <w:rFonts w:ascii="Verdana" w:eastAsia="Verdana" w:hAnsi="Verdana" w:cs="Verdana"/>
          <w:sz w:val="20"/>
          <w:szCs w:val="20"/>
        </w:rPr>
      </w:pPr>
    </w:p>
    <w:p w:rsidR="00112E29" w:rsidRDefault="00112E29">
      <w:pPr>
        <w:pBdr>
          <w:top w:val="nil"/>
          <w:left w:val="nil"/>
          <w:bottom w:val="nil"/>
          <w:right w:val="nil"/>
          <w:between w:val="nil"/>
        </w:pBdr>
        <w:spacing w:line="360" w:lineRule="auto"/>
        <w:ind w:firstLine="1134"/>
        <w:jc w:val="both"/>
        <w:rPr>
          <w:rFonts w:ascii="Verdana" w:eastAsia="Verdana" w:hAnsi="Verdana" w:cs="Verdana"/>
          <w:sz w:val="20"/>
          <w:szCs w:val="20"/>
        </w:rPr>
      </w:pPr>
    </w:p>
    <w:p w:rsidR="00112E29" w:rsidRDefault="005726C7">
      <w:pPr>
        <w:pBdr>
          <w:top w:val="nil"/>
          <w:left w:val="nil"/>
          <w:bottom w:val="nil"/>
          <w:right w:val="nil"/>
          <w:between w:val="nil"/>
        </w:pBdr>
        <w:spacing w:line="360" w:lineRule="auto"/>
        <w:jc w:val="both"/>
        <w:rPr>
          <w:rFonts w:ascii="Verdana" w:eastAsia="Verdana" w:hAnsi="Verdana" w:cs="Verdana"/>
          <w:b/>
          <w:sz w:val="20"/>
          <w:szCs w:val="20"/>
        </w:rPr>
      </w:pPr>
      <w:r>
        <w:rPr>
          <w:rFonts w:ascii="Verdana" w:eastAsia="Verdana" w:hAnsi="Verdana" w:cs="Verdana"/>
          <w:b/>
          <w:sz w:val="20"/>
          <w:szCs w:val="20"/>
        </w:rPr>
        <w:t>OBS: em caso afirmativo assinalar a ressalva acima.</w:t>
      </w:r>
    </w:p>
    <w:p w:rsidR="00112E29" w:rsidRDefault="00112E29">
      <w:pPr>
        <w:pBdr>
          <w:top w:val="nil"/>
          <w:left w:val="nil"/>
          <w:bottom w:val="nil"/>
          <w:right w:val="nil"/>
          <w:between w:val="nil"/>
        </w:pBdr>
        <w:spacing w:line="360" w:lineRule="auto"/>
        <w:ind w:firstLine="1134"/>
        <w:jc w:val="both"/>
        <w:rPr>
          <w:rFonts w:ascii="Verdana" w:eastAsia="Verdana" w:hAnsi="Verdana" w:cs="Verdana"/>
          <w:sz w:val="20"/>
          <w:szCs w:val="20"/>
        </w:rPr>
      </w:pPr>
    </w:p>
    <w:p w:rsidR="00112E29" w:rsidRDefault="00112E29">
      <w:pPr>
        <w:pBdr>
          <w:top w:val="nil"/>
          <w:left w:val="nil"/>
          <w:bottom w:val="nil"/>
          <w:right w:val="nil"/>
          <w:between w:val="nil"/>
        </w:pBdr>
        <w:spacing w:line="360" w:lineRule="auto"/>
        <w:ind w:firstLine="1134"/>
        <w:jc w:val="both"/>
        <w:rPr>
          <w:rFonts w:ascii="Verdana" w:eastAsia="Verdana" w:hAnsi="Verdana" w:cs="Verdana"/>
          <w:sz w:val="20"/>
          <w:szCs w:val="20"/>
        </w:rPr>
      </w:pPr>
    </w:p>
    <w:p w:rsidR="00112E29" w:rsidRDefault="00112E29">
      <w:pPr>
        <w:pBdr>
          <w:top w:val="nil"/>
          <w:left w:val="nil"/>
          <w:bottom w:val="nil"/>
          <w:right w:val="nil"/>
          <w:between w:val="nil"/>
        </w:pBdr>
        <w:spacing w:line="360" w:lineRule="auto"/>
        <w:ind w:firstLine="1134"/>
        <w:jc w:val="both"/>
        <w:rPr>
          <w:rFonts w:ascii="Verdana" w:eastAsia="Verdana" w:hAnsi="Verdana" w:cs="Verdana"/>
          <w:sz w:val="20"/>
          <w:szCs w:val="20"/>
        </w:rPr>
      </w:pPr>
    </w:p>
    <w:p w:rsidR="00112E29" w:rsidRDefault="005726C7">
      <w:pPr>
        <w:pBdr>
          <w:top w:val="nil"/>
          <w:left w:val="nil"/>
          <w:bottom w:val="nil"/>
          <w:right w:val="nil"/>
          <w:between w:val="nil"/>
        </w:pBdr>
        <w:spacing w:line="360" w:lineRule="auto"/>
        <w:ind w:firstLine="1134"/>
        <w:jc w:val="both"/>
        <w:rPr>
          <w:rFonts w:ascii="Verdana" w:eastAsia="Verdana" w:hAnsi="Verdana" w:cs="Verdana"/>
          <w:sz w:val="20"/>
          <w:szCs w:val="20"/>
        </w:rPr>
      </w:pPr>
      <w:r>
        <w:rPr>
          <w:rFonts w:ascii="Verdana" w:eastAsia="Verdana" w:hAnsi="Verdana" w:cs="Verdana"/>
          <w:sz w:val="20"/>
          <w:szCs w:val="20"/>
        </w:rPr>
        <w:t>Local e data.</w:t>
      </w:r>
    </w:p>
    <w:p w:rsidR="00112E29" w:rsidRDefault="00112E29">
      <w:pPr>
        <w:pBdr>
          <w:top w:val="nil"/>
          <w:left w:val="nil"/>
          <w:bottom w:val="nil"/>
          <w:right w:val="nil"/>
          <w:between w:val="nil"/>
        </w:pBdr>
        <w:spacing w:line="360" w:lineRule="auto"/>
        <w:ind w:firstLine="1134"/>
        <w:jc w:val="both"/>
        <w:rPr>
          <w:rFonts w:ascii="Verdana" w:eastAsia="Verdana" w:hAnsi="Verdana" w:cs="Verdana"/>
          <w:b/>
          <w:sz w:val="20"/>
          <w:szCs w:val="20"/>
        </w:rPr>
      </w:pPr>
    </w:p>
    <w:p w:rsidR="00112E29" w:rsidRDefault="00112E29">
      <w:pPr>
        <w:pBdr>
          <w:top w:val="nil"/>
          <w:left w:val="nil"/>
          <w:bottom w:val="nil"/>
          <w:right w:val="nil"/>
          <w:between w:val="nil"/>
        </w:pBdr>
        <w:spacing w:line="360" w:lineRule="auto"/>
        <w:ind w:firstLine="1134"/>
        <w:jc w:val="both"/>
        <w:rPr>
          <w:rFonts w:ascii="Verdana" w:eastAsia="Verdana" w:hAnsi="Verdana" w:cs="Verdana"/>
          <w:b/>
          <w:sz w:val="20"/>
          <w:szCs w:val="20"/>
        </w:rPr>
      </w:pPr>
    </w:p>
    <w:p w:rsidR="00112E29" w:rsidRDefault="00112E29">
      <w:pPr>
        <w:pBdr>
          <w:top w:val="nil"/>
          <w:left w:val="nil"/>
          <w:bottom w:val="nil"/>
          <w:right w:val="nil"/>
          <w:between w:val="nil"/>
        </w:pBdr>
        <w:spacing w:line="360" w:lineRule="auto"/>
        <w:ind w:firstLine="1134"/>
        <w:jc w:val="both"/>
        <w:rPr>
          <w:rFonts w:ascii="Verdana" w:eastAsia="Verdana" w:hAnsi="Verdana" w:cs="Verdana"/>
          <w:b/>
          <w:sz w:val="20"/>
          <w:szCs w:val="20"/>
        </w:rPr>
      </w:pPr>
    </w:p>
    <w:p w:rsidR="00112E29" w:rsidRDefault="005726C7">
      <w:pPr>
        <w:pBdr>
          <w:top w:val="nil"/>
          <w:left w:val="nil"/>
          <w:bottom w:val="nil"/>
          <w:right w:val="nil"/>
          <w:between w:val="nil"/>
        </w:pBdr>
        <w:spacing w:line="360" w:lineRule="auto"/>
        <w:ind w:firstLine="1134"/>
        <w:jc w:val="center"/>
        <w:rPr>
          <w:rFonts w:ascii="Verdana" w:eastAsia="Verdana" w:hAnsi="Verdana" w:cs="Verdana"/>
          <w:sz w:val="20"/>
          <w:szCs w:val="20"/>
        </w:rPr>
      </w:pPr>
      <w:r>
        <w:rPr>
          <w:rFonts w:ascii="Verdana" w:eastAsia="Verdana" w:hAnsi="Verdana" w:cs="Verdana"/>
          <w:sz w:val="20"/>
          <w:szCs w:val="20"/>
        </w:rPr>
        <w:t>______________________________________</w:t>
      </w:r>
    </w:p>
    <w:p w:rsidR="00112E29" w:rsidRDefault="005726C7">
      <w:pPr>
        <w:pBdr>
          <w:top w:val="nil"/>
          <w:left w:val="nil"/>
          <w:bottom w:val="nil"/>
          <w:right w:val="nil"/>
          <w:between w:val="nil"/>
        </w:pBdr>
        <w:spacing w:line="360" w:lineRule="auto"/>
        <w:ind w:firstLine="1134"/>
        <w:jc w:val="center"/>
        <w:rPr>
          <w:rFonts w:ascii="Verdana" w:eastAsia="Verdana" w:hAnsi="Verdana" w:cs="Verdana"/>
          <w:sz w:val="20"/>
          <w:szCs w:val="20"/>
        </w:rPr>
      </w:pPr>
      <w:r>
        <w:rPr>
          <w:rFonts w:ascii="Verdana" w:eastAsia="Verdana" w:hAnsi="Verdana" w:cs="Verdana"/>
          <w:sz w:val="20"/>
          <w:szCs w:val="20"/>
        </w:rPr>
        <w:t>Representante legal</w:t>
      </w:r>
    </w:p>
    <w:p w:rsidR="00112E29" w:rsidRDefault="00112E29">
      <w:pPr>
        <w:pBdr>
          <w:top w:val="nil"/>
          <w:left w:val="nil"/>
          <w:bottom w:val="nil"/>
          <w:right w:val="nil"/>
          <w:between w:val="nil"/>
        </w:pBdr>
        <w:spacing w:line="360" w:lineRule="auto"/>
        <w:rPr>
          <w:rFonts w:ascii="Verdana" w:eastAsia="Verdana" w:hAnsi="Verdana" w:cs="Verdana"/>
          <w:sz w:val="20"/>
          <w:szCs w:val="20"/>
        </w:rPr>
      </w:pPr>
    </w:p>
    <w:p w:rsidR="00112E29" w:rsidRDefault="00112E29">
      <w:pPr>
        <w:pBdr>
          <w:top w:val="nil"/>
          <w:left w:val="nil"/>
          <w:bottom w:val="nil"/>
          <w:right w:val="nil"/>
          <w:between w:val="nil"/>
        </w:pBdr>
        <w:spacing w:line="360" w:lineRule="auto"/>
        <w:rPr>
          <w:rFonts w:ascii="Verdana" w:eastAsia="Verdana" w:hAnsi="Verdana" w:cs="Verdana"/>
          <w:sz w:val="20"/>
          <w:szCs w:val="20"/>
        </w:rPr>
      </w:pPr>
    </w:p>
    <w:p w:rsidR="00112E29" w:rsidRDefault="00112E29">
      <w:pPr>
        <w:pBdr>
          <w:top w:val="nil"/>
          <w:left w:val="nil"/>
          <w:bottom w:val="nil"/>
          <w:right w:val="nil"/>
          <w:between w:val="nil"/>
        </w:pBdr>
        <w:spacing w:line="360" w:lineRule="auto"/>
        <w:rPr>
          <w:rFonts w:ascii="Verdana" w:eastAsia="Verdana" w:hAnsi="Verdana" w:cs="Verdana"/>
          <w:sz w:val="20"/>
          <w:szCs w:val="20"/>
        </w:rPr>
      </w:pPr>
    </w:p>
    <w:p w:rsidR="00112E29" w:rsidRDefault="005726C7">
      <w:pPr>
        <w:pStyle w:val="Ttulo2"/>
        <w:tabs>
          <w:tab w:val="left" w:pos="0"/>
        </w:tabs>
        <w:spacing w:line="360" w:lineRule="auto"/>
        <w:rPr>
          <w:rFonts w:ascii="Verdana" w:eastAsia="Verdana" w:hAnsi="Verdana" w:cs="Verdana"/>
          <w:sz w:val="20"/>
          <w:szCs w:val="20"/>
        </w:rPr>
      </w:pPr>
      <w:r>
        <w:br w:type="page"/>
      </w:r>
    </w:p>
    <w:p w:rsidR="00112E29" w:rsidRDefault="00112E29">
      <w:pPr>
        <w:pStyle w:val="Ttulo2"/>
        <w:tabs>
          <w:tab w:val="left" w:pos="0"/>
        </w:tabs>
        <w:spacing w:line="360" w:lineRule="auto"/>
        <w:rPr>
          <w:rFonts w:ascii="Verdana" w:eastAsia="Verdana" w:hAnsi="Verdana" w:cs="Verdana"/>
          <w:sz w:val="20"/>
          <w:szCs w:val="20"/>
        </w:rPr>
      </w:pPr>
    </w:p>
    <w:p w:rsidR="00112E29" w:rsidRDefault="00112E29">
      <w:pPr>
        <w:pBdr>
          <w:top w:val="nil"/>
          <w:left w:val="nil"/>
          <w:bottom w:val="nil"/>
          <w:right w:val="nil"/>
          <w:between w:val="nil"/>
        </w:pBdr>
        <w:spacing w:line="360" w:lineRule="auto"/>
        <w:rPr>
          <w:rFonts w:ascii="Verdana" w:eastAsia="Verdana" w:hAnsi="Verdana" w:cs="Verdana"/>
          <w:sz w:val="20"/>
          <w:szCs w:val="20"/>
        </w:rPr>
      </w:pPr>
    </w:p>
    <w:p w:rsidR="00112E29" w:rsidRDefault="00112E29">
      <w:pPr>
        <w:pBdr>
          <w:top w:val="nil"/>
          <w:left w:val="nil"/>
          <w:bottom w:val="nil"/>
          <w:right w:val="nil"/>
          <w:between w:val="nil"/>
        </w:pBdr>
        <w:spacing w:line="360" w:lineRule="auto"/>
        <w:rPr>
          <w:rFonts w:ascii="Verdana" w:eastAsia="Verdana" w:hAnsi="Verdana" w:cs="Verdana"/>
          <w:sz w:val="20"/>
          <w:szCs w:val="20"/>
        </w:rPr>
      </w:pPr>
    </w:p>
    <w:p w:rsidR="00112E29" w:rsidRDefault="00112E29">
      <w:pPr>
        <w:pStyle w:val="Ttulo2"/>
        <w:tabs>
          <w:tab w:val="left" w:pos="0"/>
        </w:tabs>
        <w:spacing w:line="360" w:lineRule="auto"/>
        <w:jc w:val="left"/>
        <w:rPr>
          <w:rFonts w:ascii="Verdana" w:eastAsia="Verdana" w:hAnsi="Verdana" w:cs="Verdana"/>
          <w:sz w:val="20"/>
          <w:szCs w:val="20"/>
        </w:rPr>
      </w:pPr>
    </w:p>
    <w:p w:rsidR="00112E29" w:rsidRDefault="005726C7">
      <w:pPr>
        <w:pStyle w:val="Ttulo2"/>
        <w:tabs>
          <w:tab w:val="left" w:pos="0"/>
        </w:tabs>
        <w:spacing w:line="360" w:lineRule="auto"/>
        <w:jc w:val="left"/>
        <w:rPr>
          <w:rFonts w:ascii="Verdana" w:eastAsia="Verdana" w:hAnsi="Verdana" w:cs="Verdana"/>
          <w:sz w:val="20"/>
          <w:szCs w:val="20"/>
        </w:rPr>
      </w:pP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DECLARAÇÃO</w:t>
      </w:r>
    </w:p>
    <w:p w:rsidR="00112E29" w:rsidRDefault="00112E29">
      <w:pPr>
        <w:pBdr>
          <w:top w:val="nil"/>
          <w:left w:val="nil"/>
          <w:bottom w:val="nil"/>
          <w:right w:val="nil"/>
          <w:between w:val="nil"/>
        </w:pBdr>
        <w:spacing w:line="360" w:lineRule="auto"/>
        <w:jc w:val="both"/>
        <w:rPr>
          <w:rFonts w:ascii="Verdana" w:eastAsia="Verdana" w:hAnsi="Verdana" w:cs="Verdana"/>
          <w:b/>
          <w:sz w:val="20"/>
          <w:szCs w:val="20"/>
        </w:rPr>
      </w:pPr>
    </w:p>
    <w:p w:rsidR="00112E29" w:rsidRDefault="00112E29">
      <w:pPr>
        <w:pBdr>
          <w:top w:val="nil"/>
          <w:left w:val="nil"/>
          <w:bottom w:val="nil"/>
          <w:right w:val="nil"/>
          <w:between w:val="nil"/>
        </w:pBdr>
        <w:spacing w:line="360" w:lineRule="auto"/>
        <w:ind w:firstLine="1134"/>
        <w:jc w:val="both"/>
        <w:rPr>
          <w:rFonts w:ascii="Verdana" w:eastAsia="Verdana" w:hAnsi="Verdana" w:cs="Verdana"/>
          <w:b/>
          <w:sz w:val="20"/>
          <w:szCs w:val="20"/>
        </w:rPr>
      </w:pPr>
    </w:p>
    <w:p w:rsidR="00112E29" w:rsidRDefault="00112E29">
      <w:pPr>
        <w:pBdr>
          <w:top w:val="nil"/>
          <w:left w:val="nil"/>
          <w:bottom w:val="nil"/>
          <w:right w:val="nil"/>
          <w:between w:val="nil"/>
        </w:pBdr>
        <w:spacing w:line="360" w:lineRule="auto"/>
        <w:ind w:firstLine="1134"/>
        <w:jc w:val="both"/>
        <w:rPr>
          <w:rFonts w:ascii="Verdana" w:eastAsia="Verdana" w:hAnsi="Verdana" w:cs="Verdana"/>
          <w:b/>
          <w:sz w:val="20"/>
          <w:szCs w:val="20"/>
        </w:rPr>
      </w:pP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___________________________</w:t>
      </w:r>
      <w:r>
        <w:rPr>
          <w:rFonts w:ascii="Verdana" w:eastAsia="Verdana" w:hAnsi="Verdana" w:cs="Verdana"/>
          <w:b/>
          <w:sz w:val="20"/>
          <w:szCs w:val="20"/>
        </w:rPr>
        <w:t xml:space="preserve">, </w:t>
      </w:r>
      <w:r>
        <w:rPr>
          <w:rFonts w:ascii="Verdana" w:eastAsia="Verdana" w:hAnsi="Verdana" w:cs="Verdana"/>
          <w:sz w:val="20"/>
          <w:szCs w:val="20"/>
        </w:rPr>
        <w:t>inscrito</w:t>
      </w:r>
      <w:r>
        <w:rPr>
          <w:rFonts w:ascii="Verdana" w:eastAsia="Verdana" w:hAnsi="Verdana" w:cs="Verdana"/>
          <w:b/>
          <w:sz w:val="20"/>
          <w:szCs w:val="20"/>
        </w:rPr>
        <w:t xml:space="preserve"> </w:t>
      </w:r>
      <w:r>
        <w:rPr>
          <w:rFonts w:ascii="Verdana" w:eastAsia="Verdana" w:hAnsi="Verdana" w:cs="Verdana"/>
          <w:sz w:val="20"/>
          <w:szCs w:val="20"/>
        </w:rPr>
        <w:t>no</w:t>
      </w:r>
      <w:r>
        <w:rPr>
          <w:rFonts w:ascii="Verdana" w:eastAsia="Verdana" w:hAnsi="Verdana" w:cs="Verdana"/>
          <w:b/>
          <w:sz w:val="20"/>
          <w:szCs w:val="20"/>
        </w:rPr>
        <w:t xml:space="preserve"> </w:t>
      </w:r>
      <w:r>
        <w:rPr>
          <w:rFonts w:ascii="Verdana" w:eastAsia="Verdana" w:hAnsi="Verdana" w:cs="Verdana"/>
          <w:sz w:val="20"/>
          <w:szCs w:val="20"/>
        </w:rPr>
        <w:t xml:space="preserve">CNPJ nº __________________, por intermédio de seu representante legal o(a) Sr(a). ..................................., portador(a) da carteira de identidade nº ........................... e do CPF nº ............................., </w:t>
      </w:r>
      <w:r>
        <w:rPr>
          <w:rFonts w:ascii="Verdana" w:eastAsia="Verdana" w:hAnsi="Verdana" w:cs="Verdana"/>
          <w:b/>
          <w:sz w:val="20"/>
          <w:szCs w:val="20"/>
        </w:rPr>
        <w:t>DECLARA</w:t>
      </w:r>
      <w:r>
        <w:rPr>
          <w:rFonts w:ascii="Verdana" w:eastAsia="Verdana" w:hAnsi="Verdana" w:cs="Verdana"/>
          <w:sz w:val="20"/>
          <w:szCs w:val="20"/>
        </w:rPr>
        <w:t>, para fins Resolução nº 07/2005 do Conselho Nacional de Justiça – CNJ, que não possui sócios cônjuge, companheiro ou parente em linha reta, colateral ou por afinidade, até o terceiro grau inclusive, de membros ou juízes vinculados, ou servidor investido em cargo de direção e de assessoramento, vinculados ao TRT7ª.</w:t>
      </w:r>
    </w:p>
    <w:p w:rsidR="00112E29" w:rsidRDefault="00112E29">
      <w:pPr>
        <w:pBdr>
          <w:top w:val="nil"/>
          <w:left w:val="nil"/>
          <w:bottom w:val="nil"/>
          <w:right w:val="nil"/>
          <w:between w:val="nil"/>
        </w:pBdr>
        <w:spacing w:line="360" w:lineRule="auto"/>
        <w:jc w:val="both"/>
        <w:rPr>
          <w:rFonts w:ascii="Verdana" w:eastAsia="Verdana" w:hAnsi="Verdana" w:cs="Verdana"/>
          <w:sz w:val="20"/>
          <w:szCs w:val="20"/>
        </w:rPr>
      </w:pPr>
    </w:p>
    <w:p w:rsidR="00112E29" w:rsidRDefault="005726C7">
      <w:pPr>
        <w:pBdr>
          <w:top w:val="nil"/>
          <w:left w:val="nil"/>
          <w:bottom w:val="nil"/>
          <w:right w:val="nil"/>
          <w:between w:val="nil"/>
        </w:pBdr>
        <w:spacing w:line="360" w:lineRule="auto"/>
        <w:ind w:firstLine="1134"/>
        <w:jc w:val="both"/>
        <w:rPr>
          <w:rFonts w:ascii="Verdana" w:eastAsia="Verdana" w:hAnsi="Verdana" w:cs="Verdana"/>
          <w:sz w:val="20"/>
          <w:szCs w:val="20"/>
        </w:rPr>
      </w:pPr>
      <w:r>
        <w:rPr>
          <w:rFonts w:ascii="Verdana" w:eastAsia="Verdana" w:hAnsi="Verdana" w:cs="Verdana"/>
          <w:sz w:val="20"/>
          <w:szCs w:val="20"/>
        </w:rPr>
        <w:t>Local e data.</w:t>
      </w:r>
    </w:p>
    <w:p w:rsidR="00112E29" w:rsidRDefault="00112E29">
      <w:pPr>
        <w:pBdr>
          <w:top w:val="nil"/>
          <w:left w:val="nil"/>
          <w:bottom w:val="nil"/>
          <w:right w:val="nil"/>
          <w:between w:val="nil"/>
        </w:pBdr>
        <w:spacing w:line="360" w:lineRule="auto"/>
        <w:ind w:firstLine="1134"/>
        <w:jc w:val="both"/>
        <w:rPr>
          <w:rFonts w:ascii="Verdana" w:eastAsia="Verdana" w:hAnsi="Verdana" w:cs="Verdana"/>
          <w:b/>
          <w:sz w:val="20"/>
          <w:szCs w:val="20"/>
        </w:rPr>
      </w:pPr>
    </w:p>
    <w:p w:rsidR="00112E29" w:rsidRDefault="00112E29">
      <w:pPr>
        <w:pBdr>
          <w:top w:val="nil"/>
          <w:left w:val="nil"/>
          <w:bottom w:val="nil"/>
          <w:right w:val="nil"/>
          <w:between w:val="nil"/>
        </w:pBdr>
        <w:spacing w:line="360" w:lineRule="auto"/>
        <w:ind w:firstLine="1134"/>
        <w:jc w:val="both"/>
        <w:rPr>
          <w:rFonts w:ascii="Verdana" w:eastAsia="Verdana" w:hAnsi="Verdana" w:cs="Verdana"/>
          <w:b/>
          <w:sz w:val="20"/>
          <w:szCs w:val="20"/>
        </w:rPr>
      </w:pPr>
    </w:p>
    <w:p w:rsidR="00112E29" w:rsidRDefault="005726C7">
      <w:pPr>
        <w:pBdr>
          <w:top w:val="nil"/>
          <w:left w:val="nil"/>
          <w:bottom w:val="nil"/>
          <w:right w:val="nil"/>
          <w:between w:val="nil"/>
        </w:pBdr>
        <w:spacing w:line="360" w:lineRule="auto"/>
        <w:ind w:firstLine="1134"/>
        <w:jc w:val="center"/>
        <w:rPr>
          <w:rFonts w:ascii="Verdana" w:eastAsia="Verdana" w:hAnsi="Verdana" w:cs="Verdana"/>
          <w:sz w:val="20"/>
          <w:szCs w:val="20"/>
        </w:rPr>
      </w:pPr>
      <w:r>
        <w:rPr>
          <w:rFonts w:ascii="Verdana" w:eastAsia="Verdana" w:hAnsi="Verdana" w:cs="Verdana"/>
          <w:sz w:val="20"/>
          <w:szCs w:val="20"/>
        </w:rPr>
        <w:t>______________________________________</w:t>
      </w:r>
    </w:p>
    <w:p w:rsidR="00112E29" w:rsidRDefault="005726C7">
      <w:pPr>
        <w:pBdr>
          <w:top w:val="nil"/>
          <w:left w:val="nil"/>
          <w:bottom w:val="nil"/>
          <w:right w:val="nil"/>
          <w:between w:val="nil"/>
        </w:pBdr>
        <w:spacing w:line="360" w:lineRule="auto"/>
        <w:ind w:firstLine="1134"/>
        <w:jc w:val="center"/>
        <w:rPr>
          <w:rFonts w:ascii="Verdana" w:eastAsia="Verdana" w:hAnsi="Verdana" w:cs="Verdana"/>
          <w:sz w:val="20"/>
          <w:szCs w:val="20"/>
        </w:rPr>
      </w:pPr>
      <w:r>
        <w:rPr>
          <w:rFonts w:ascii="Verdana" w:eastAsia="Verdana" w:hAnsi="Verdana" w:cs="Verdana"/>
          <w:sz w:val="20"/>
          <w:szCs w:val="20"/>
        </w:rPr>
        <w:t xml:space="preserve">Representante legal </w:t>
      </w:r>
    </w:p>
    <w:p w:rsidR="00112E29" w:rsidRDefault="00112E29">
      <w:pPr>
        <w:pBdr>
          <w:top w:val="nil"/>
          <w:left w:val="nil"/>
          <w:bottom w:val="nil"/>
          <w:right w:val="nil"/>
          <w:between w:val="nil"/>
        </w:pBdr>
        <w:spacing w:line="360" w:lineRule="auto"/>
        <w:ind w:firstLine="1134"/>
        <w:jc w:val="center"/>
        <w:rPr>
          <w:rFonts w:ascii="Verdana" w:eastAsia="Verdana" w:hAnsi="Verdana" w:cs="Verdana"/>
          <w:sz w:val="20"/>
          <w:szCs w:val="20"/>
        </w:rPr>
      </w:pPr>
    </w:p>
    <w:p w:rsidR="00112E29" w:rsidRDefault="00112E29">
      <w:pPr>
        <w:pBdr>
          <w:top w:val="nil"/>
          <w:left w:val="nil"/>
          <w:bottom w:val="nil"/>
          <w:right w:val="nil"/>
          <w:between w:val="nil"/>
        </w:pBdr>
        <w:spacing w:line="360" w:lineRule="auto"/>
        <w:ind w:firstLine="1134"/>
        <w:jc w:val="center"/>
        <w:rPr>
          <w:rFonts w:ascii="Verdana" w:eastAsia="Verdana" w:hAnsi="Verdana" w:cs="Verdana"/>
          <w:sz w:val="20"/>
          <w:szCs w:val="20"/>
        </w:rPr>
      </w:pPr>
    </w:p>
    <w:p w:rsidR="00112E29" w:rsidRDefault="00112E29">
      <w:pPr>
        <w:pBdr>
          <w:top w:val="nil"/>
          <w:left w:val="nil"/>
          <w:bottom w:val="nil"/>
          <w:right w:val="nil"/>
          <w:between w:val="nil"/>
        </w:pBdr>
        <w:spacing w:line="360" w:lineRule="auto"/>
        <w:ind w:firstLine="1134"/>
        <w:jc w:val="center"/>
        <w:rPr>
          <w:rFonts w:ascii="Verdana" w:eastAsia="Verdana" w:hAnsi="Verdana" w:cs="Verdana"/>
          <w:sz w:val="20"/>
          <w:szCs w:val="20"/>
        </w:rPr>
      </w:pPr>
    </w:p>
    <w:p w:rsidR="00112E29" w:rsidRDefault="00112E29">
      <w:pPr>
        <w:pBdr>
          <w:top w:val="nil"/>
          <w:left w:val="nil"/>
          <w:bottom w:val="nil"/>
          <w:right w:val="nil"/>
          <w:between w:val="nil"/>
        </w:pBdr>
        <w:spacing w:line="360" w:lineRule="auto"/>
        <w:ind w:firstLine="1134"/>
        <w:jc w:val="center"/>
        <w:rPr>
          <w:rFonts w:ascii="Verdana" w:eastAsia="Verdana" w:hAnsi="Verdana" w:cs="Verdana"/>
          <w:sz w:val="20"/>
          <w:szCs w:val="20"/>
        </w:rPr>
      </w:pPr>
    </w:p>
    <w:p w:rsidR="00112E29" w:rsidRDefault="005726C7">
      <w:pPr>
        <w:pBdr>
          <w:top w:val="nil"/>
          <w:left w:val="nil"/>
          <w:bottom w:val="nil"/>
          <w:right w:val="nil"/>
          <w:between w:val="nil"/>
        </w:pBdr>
        <w:spacing w:line="360" w:lineRule="auto"/>
        <w:ind w:firstLine="1134"/>
        <w:jc w:val="center"/>
        <w:rPr>
          <w:rFonts w:ascii="Verdana" w:eastAsia="Verdana" w:hAnsi="Verdana" w:cs="Verdana"/>
          <w:sz w:val="20"/>
          <w:szCs w:val="20"/>
        </w:rPr>
      </w:pPr>
      <w:r>
        <w:br w:type="page"/>
      </w:r>
    </w:p>
    <w:p w:rsidR="00112E29" w:rsidRDefault="00112E29">
      <w:pPr>
        <w:pBdr>
          <w:top w:val="nil"/>
          <w:left w:val="nil"/>
          <w:bottom w:val="nil"/>
          <w:right w:val="nil"/>
          <w:between w:val="nil"/>
        </w:pBdr>
        <w:spacing w:line="360" w:lineRule="auto"/>
        <w:ind w:firstLine="1134"/>
        <w:jc w:val="center"/>
        <w:rPr>
          <w:rFonts w:ascii="Verdana" w:eastAsia="Verdana" w:hAnsi="Verdana" w:cs="Verdana"/>
          <w:sz w:val="20"/>
          <w:szCs w:val="20"/>
        </w:rPr>
      </w:pPr>
    </w:p>
    <w:p w:rsidR="00112E29" w:rsidRDefault="00112E29">
      <w:pPr>
        <w:pBdr>
          <w:top w:val="nil"/>
          <w:left w:val="nil"/>
          <w:bottom w:val="nil"/>
          <w:right w:val="nil"/>
          <w:between w:val="nil"/>
        </w:pBdr>
        <w:spacing w:line="360" w:lineRule="auto"/>
        <w:ind w:firstLine="1134"/>
        <w:jc w:val="center"/>
        <w:rPr>
          <w:rFonts w:ascii="Verdana" w:eastAsia="Verdana" w:hAnsi="Verdana" w:cs="Verdana"/>
          <w:sz w:val="20"/>
          <w:szCs w:val="20"/>
        </w:rPr>
      </w:pPr>
    </w:p>
    <w:p w:rsidR="00112E29" w:rsidRDefault="00112E29">
      <w:pPr>
        <w:pStyle w:val="Ttulo2"/>
        <w:tabs>
          <w:tab w:val="left" w:pos="0"/>
        </w:tabs>
        <w:spacing w:line="360" w:lineRule="auto"/>
        <w:jc w:val="left"/>
        <w:rPr>
          <w:rFonts w:ascii="Verdana" w:eastAsia="Verdana" w:hAnsi="Verdana" w:cs="Verdana"/>
          <w:sz w:val="20"/>
          <w:szCs w:val="20"/>
        </w:rPr>
      </w:pPr>
    </w:p>
    <w:p w:rsidR="00112E29" w:rsidRDefault="005726C7">
      <w:pPr>
        <w:pStyle w:val="Ttulo2"/>
        <w:tabs>
          <w:tab w:val="left" w:pos="0"/>
        </w:tabs>
        <w:spacing w:line="360" w:lineRule="auto"/>
        <w:jc w:val="left"/>
        <w:rPr>
          <w:rFonts w:ascii="Verdana" w:eastAsia="Verdana" w:hAnsi="Verdana" w:cs="Verdana"/>
          <w:sz w:val="20"/>
          <w:szCs w:val="20"/>
        </w:rPr>
      </w:pP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DECLARAÇÃO</w:t>
      </w:r>
    </w:p>
    <w:p w:rsidR="00112E29" w:rsidRDefault="00112E29">
      <w:pPr>
        <w:pBdr>
          <w:top w:val="nil"/>
          <w:left w:val="nil"/>
          <w:bottom w:val="nil"/>
          <w:right w:val="nil"/>
          <w:between w:val="nil"/>
        </w:pBdr>
        <w:spacing w:line="360" w:lineRule="auto"/>
        <w:jc w:val="both"/>
        <w:rPr>
          <w:rFonts w:ascii="Verdana" w:eastAsia="Verdana" w:hAnsi="Verdana" w:cs="Verdana"/>
          <w:sz w:val="20"/>
          <w:szCs w:val="20"/>
        </w:rPr>
      </w:pPr>
    </w:p>
    <w:p w:rsidR="00112E29" w:rsidRDefault="00112E29">
      <w:pPr>
        <w:pBdr>
          <w:top w:val="nil"/>
          <w:left w:val="nil"/>
          <w:bottom w:val="nil"/>
          <w:right w:val="nil"/>
          <w:between w:val="nil"/>
        </w:pBdr>
        <w:spacing w:line="360" w:lineRule="auto"/>
        <w:jc w:val="both"/>
        <w:rPr>
          <w:rFonts w:ascii="Verdana" w:eastAsia="Verdana" w:hAnsi="Verdana" w:cs="Verdana"/>
          <w:sz w:val="20"/>
          <w:szCs w:val="20"/>
        </w:rPr>
      </w:pPr>
    </w:p>
    <w:p w:rsidR="00112E29" w:rsidRDefault="00112E29">
      <w:pPr>
        <w:pBdr>
          <w:top w:val="nil"/>
          <w:left w:val="nil"/>
          <w:bottom w:val="nil"/>
          <w:right w:val="nil"/>
          <w:between w:val="nil"/>
        </w:pBdr>
        <w:spacing w:line="360" w:lineRule="auto"/>
        <w:jc w:val="both"/>
        <w:rPr>
          <w:rFonts w:ascii="Verdana" w:eastAsia="Verdana" w:hAnsi="Verdana" w:cs="Verdana"/>
          <w:sz w:val="20"/>
          <w:szCs w:val="20"/>
        </w:rPr>
      </w:pPr>
    </w:p>
    <w:p w:rsidR="00112E29" w:rsidRDefault="005726C7">
      <w:pPr>
        <w:pBdr>
          <w:top w:val="nil"/>
          <w:left w:val="nil"/>
          <w:bottom w:val="nil"/>
          <w:right w:val="nil"/>
          <w:between w:val="nil"/>
        </w:pBdr>
        <w:spacing w:line="360" w:lineRule="auto"/>
        <w:jc w:val="both"/>
        <w:rPr>
          <w:rFonts w:ascii="Verdana" w:eastAsia="Verdana" w:hAnsi="Verdana" w:cs="Verdana"/>
          <w:sz w:val="20"/>
          <w:szCs w:val="20"/>
        </w:rPr>
      </w:pPr>
      <w:r>
        <w:rPr>
          <w:rFonts w:ascii="Verdana" w:eastAsia="Verdana" w:hAnsi="Verdana" w:cs="Verdana"/>
          <w:sz w:val="20"/>
          <w:szCs w:val="20"/>
        </w:rPr>
        <w:t xml:space="preserve">................................................, portador(a) da carteira de identidade nº .................................. </w:t>
      </w:r>
      <w:proofErr w:type="gramStart"/>
      <w:r>
        <w:rPr>
          <w:rFonts w:ascii="Verdana" w:eastAsia="Verdana" w:hAnsi="Verdana" w:cs="Verdana"/>
          <w:sz w:val="20"/>
          <w:szCs w:val="20"/>
        </w:rPr>
        <w:t>e</w:t>
      </w:r>
      <w:proofErr w:type="gramEnd"/>
      <w:r>
        <w:rPr>
          <w:rFonts w:ascii="Verdana" w:eastAsia="Verdana" w:hAnsi="Verdana" w:cs="Verdana"/>
          <w:sz w:val="20"/>
          <w:szCs w:val="20"/>
        </w:rPr>
        <w:t xml:space="preserve"> do CPF nº ......................................................., DECLARA que não é servidor ou dirigente do Tribunal Regional do Trabalho da 7ª Região, nos termos do inciso IV do art. 14 da Lei nº 14.133/2021.</w:t>
      </w:r>
    </w:p>
    <w:p w:rsidR="00112E29" w:rsidRDefault="00112E29">
      <w:pPr>
        <w:pBdr>
          <w:top w:val="nil"/>
          <w:left w:val="nil"/>
          <w:bottom w:val="nil"/>
          <w:right w:val="nil"/>
          <w:between w:val="nil"/>
        </w:pBdr>
        <w:spacing w:line="360" w:lineRule="auto"/>
        <w:jc w:val="both"/>
        <w:rPr>
          <w:rFonts w:ascii="Verdana" w:eastAsia="Verdana" w:hAnsi="Verdana" w:cs="Verdana"/>
          <w:sz w:val="20"/>
          <w:szCs w:val="20"/>
        </w:rPr>
      </w:pPr>
    </w:p>
    <w:p w:rsidR="00112E29" w:rsidRDefault="00112E29">
      <w:pPr>
        <w:pBdr>
          <w:top w:val="nil"/>
          <w:left w:val="nil"/>
          <w:bottom w:val="nil"/>
          <w:right w:val="nil"/>
          <w:between w:val="nil"/>
        </w:pBdr>
        <w:spacing w:line="360" w:lineRule="auto"/>
        <w:jc w:val="both"/>
        <w:rPr>
          <w:rFonts w:ascii="Verdana" w:eastAsia="Verdana" w:hAnsi="Verdana" w:cs="Verdana"/>
          <w:sz w:val="20"/>
          <w:szCs w:val="20"/>
        </w:rPr>
      </w:pPr>
    </w:p>
    <w:p w:rsidR="00112E29" w:rsidRDefault="005726C7">
      <w:pPr>
        <w:pBdr>
          <w:top w:val="nil"/>
          <w:left w:val="nil"/>
          <w:bottom w:val="nil"/>
          <w:right w:val="nil"/>
          <w:between w:val="nil"/>
        </w:pBdr>
        <w:spacing w:line="360" w:lineRule="auto"/>
        <w:jc w:val="center"/>
        <w:rPr>
          <w:rFonts w:ascii="Verdana" w:eastAsia="Verdana" w:hAnsi="Verdana" w:cs="Verdana"/>
          <w:sz w:val="20"/>
          <w:szCs w:val="20"/>
        </w:rPr>
      </w:pPr>
      <w:r>
        <w:rPr>
          <w:rFonts w:ascii="Verdana" w:eastAsia="Verdana" w:hAnsi="Verdana" w:cs="Verdana"/>
          <w:sz w:val="20"/>
          <w:szCs w:val="20"/>
        </w:rPr>
        <w:t>Cidade/UF, ...........................................</w:t>
      </w:r>
    </w:p>
    <w:p w:rsidR="00112E29" w:rsidRDefault="00112E29">
      <w:pPr>
        <w:pBdr>
          <w:top w:val="nil"/>
          <w:left w:val="nil"/>
          <w:bottom w:val="nil"/>
          <w:right w:val="nil"/>
          <w:between w:val="nil"/>
        </w:pBdr>
        <w:spacing w:line="360" w:lineRule="auto"/>
        <w:jc w:val="center"/>
        <w:rPr>
          <w:rFonts w:ascii="Verdana" w:eastAsia="Verdana" w:hAnsi="Verdana" w:cs="Verdana"/>
          <w:sz w:val="20"/>
          <w:szCs w:val="20"/>
        </w:rPr>
      </w:pPr>
    </w:p>
    <w:p w:rsidR="00112E29" w:rsidRDefault="00112E29">
      <w:pPr>
        <w:pBdr>
          <w:top w:val="nil"/>
          <w:left w:val="nil"/>
          <w:bottom w:val="nil"/>
          <w:right w:val="nil"/>
          <w:between w:val="nil"/>
        </w:pBdr>
        <w:spacing w:line="360" w:lineRule="auto"/>
        <w:jc w:val="center"/>
        <w:rPr>
          <w:rFonts w:ascii="Verdana" w:eastAsia="Verdana" w:hAnsi="Verdana" w:cs="Verdana"/>
          <w:sz w:val="20"/>
          <w:szCs w:val="20"/>
        </w:rPr>
      </w:pPr>
    </w:p>
    <w:p w:rsidR="00112E29" w:rsidRDefault="00112E29">
      <w:pPr>
        <w:pBdr>
          <w:top w:val="nil"/>
          <w:left w:val="nil"/>
          <w:bottom w:val="nil"/>
          <w:right w:val="nil"/>
          <w:between w:val="nil"/>
        </w:pBdr>
        <w:spacing w:line="360" w:lineRule="auto"/>
        <w:jc w:val="center"/>
        <w:rPr>
          <w:rFonts w:ascii="Verdana" w:eastAsia="Verdana" w:hAnsi="Verdana" w:cs="Verdana"/>
          <w:sz w:val="20"/>
          <w:szCs w:val="20"/>
        </w:rPr>
      </w:pPr>
    </w:p>
    <w:p w:rsidR="00112E29" w:rsidRDefault="005726C7">
      <w:pPr>
        <w:pBdr>
          <w:top w:val="nil"/>
          <w:left w:val="nil"/>
          <w:bottom w:val="nil"/>
          <w:right w:val="nil"/>
          <w:between w:val="nil"/>
        </w:pBdr>
        <w:spacing w:line="360" w:lineRule="auto"/>
        <w:jc w:val="center"/>
        <w:rPr>
          <w:rFonts w:ascii="Verdana" w:eastAsia="Verdana" w:hAnsi="Verdana" w:cs="Verdana"/>
          <w:sz w:val="20"/>
          <w:szCs w:val="20"/>
        </w:rPr>
      </w:pPr>
      <w:r>
        <w:rPr>
          <w:rFonts w:ascii="Verdana" w:eastAsia="Verdana" w:hAnsi="Verdana" w:cs="Verdana"/>
          <w:sz w:val="20"/>
          <w:szCs w:val="20"/>
        </w:rPr>
        <w:t>______________________________________</w:t>
      </w:r>
    </w:p>
    <w:p w:rsidR="00112E29" w:rsidRDefault="005726C7">
      <w:pPr>
        <w:pBdr>
          <w:top w:val="nil"/>
          <w:left w:val="nil"/>
          <w:bottom w:val="nil"/>
          <w:right w:val="nil"/>
          <w:between w:val="nil"/>
        </w:pBdr>
        <w:spacing w:line="360" w:lineRule="auto"/>
        <w:jc w:val="center"/>
        <w:rPr>
          <w:rFonts w:ascii="Verdana" w:eastAsia="Verdana" w:hAnsi="Verdana" w:cs="Verdana"/>
          <w:sz w:val="20"/>
          <w:szCs w:val="20"/>
        </w:rPr>
      </w:pPr>
      <w:r>
        <w:rPr>
          <w:rFonts w:ascii="Verdana" w:eastAsia="Verdana" w:hAnsi="Verdana" w:cs="Verdana"/>
          <w:sz w:val="20"/>
          <w:szCs w:val="20"/>
        </w:rPr>
        <w:t>Assinatura</w:t>
      </w:r>
    </w:p>
    <w:p w:rsidR="00112E29" w:rsidRDefault="00112E29">
      <w:pPr>
        <w:pBdr>
          <w:top w:val="nil"/>
          <w:left w:val="nil"/>
          <w:bottom w:val="nil"/>
          <w:right w:val="nil"/>
          <w:between w:val="nil"/>
        </w:pBdr>
        <w:tabs>
          <w:tab w:val="left" w:pos="0"/>
        </w:tabs>
        <w:spacing w:line="276" w:lineRule="auto"/>
        <w:ind w:right="284"/>
        <w:jc w:val="both"/>
        <w:rPr>
          <w:rFonts w:ascii="Arial" w:eastAsia="Arial" w:hAnsi="Arial" w:cs="Arial"/>
          <w:color w:val="000000"/>
          <w:sz w:val="20"/>
          <w:szCs w:val="20"/>
        </w:rPr>
      </w:pPr>
    </w:p>
    <w:sectPr w:rsidR="00112E29" w:rsidSect="005671B2">
      <w:pgSz w:w="11906" w:h="16838"/>
      <w:pgMar w:top="1134" w:right="1134" w:bottom="1134" w:left="1134" w:header="0" w:footer="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panose1 w:val="020206030504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3688"/>
    <w:multiLevelType w:val="multilevel"/>
    <w:tmpl w:val="97D41D96"/>
    <w:lvl w:ilvl="0">
      <w:start w:val="10"/>
      <w:numFmt w:val="decimal"/>
      <w:lvlText w:val="%1."/>
      <w:lvlJc w:val="left"/>
      <w:pPr>
        <w:ind w:left="720" w:hanging="360"/>
      </w:pPr>
      <w:rPr>
        <w:rFonts w:ascii="Arial" w:eastAsia="Arial" w:hAnsi="Arial" w:cs="Arial"/>
        <w:b/>
        <w:sz w:val="20"/>
        <w:szCs w:val="20"/>
      </w:rPr>
    </w:lvl>
    <w:lvl w:ilvl="1">
      <w:start w:val="3"/>
      <w:numFmt w:val="decimal"/>
      <w:lvlText w:val="%1.%2."/>
      <w:lvlJc w:val="left"/>
      <w:pPr>
        <w:ind w:left="1080" w:hanging="360"/>
      </w:pPr>
      <w:rPr>
        <w:rFonts w:ascii="Arial" w:eastAsia="Arial" w:hAnsi="Arial" w:cs="Arial"/>
        <w:b/>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nsid w:val="342C40C6"/>
    <w:multiLevelType w:val="multilevel"/>
    <w:tmpl w:val="729A1AC2"/>
    <w:lvl w:ilvl="0">
      <w:start w:val="1"/>
      <w:numFmt w:val="lowerLetter"/>
      <w:lvlText w:val="%1)"/>
      <w:lvlJc w:val="left"/>
      <w:pPr>
        <w:ind w:left="2988" w:hanging="360"/>
      </w:pPr>
    </w:lvl>
    <w:lvl w:ilvl="1">
      <w:start w:val="1"/>
      <w:numFmt w:val="lowerLetter"/>
      <w:pStyle w:val="Nivel2"/>
      <w:lvlText w:val="%2."/>
      <w:lvlJc w:val="left"/>
      <w:pPr>
        <w:ind w:left="3708" w:hanging="360"/>
      </w:pPr>
    </w:lvl>
    <w:lvl w:ilvl="2">
      <w:start w:val="1"/>
      <w:numFmt w:val="lowerRoman"/>
      <w:pStyle w:val="Nivel3"/>
      <w:lvlText w:val="%3."/>
      <w:lvlJc w:val="right"/>
      <w:pPr>
        <w:ind w:left="4428" w:hanging="180"/>
      </w:pPr>
    </w:lvl>
    <w:lvl w:ilvl="3">
      <w:start w:val="1"/>
      <w:numFmt w:val="decimal"/>
      <w:pStyle w:val="Nivel4"/>
      <w:lvlText w:val="%4."/>
      <w:lvlJc w:val="left"/>
      <w:pPr>
        <w:ind w:left="5148" w:hanging="360"/>
      </w:pPr>
    </w:lvl>
    <w:lvl w:ilvl="4">
      <w:start w:val="1"/>
      <w:numFmt w:val="lowerLetter"/>
      <w:lvlText w:val="%5."/>
      <w:lvlJc w:val="left"/>
      <w:pPr>
        <w:ind w:left="5868" w:hanging="360"/>
      </w:pPr>
    </w:lvl>
    <w:lvl w:ilvl="5">
      <w:start w:val="1"/>
      <w:numFmt w:val="lowerRoman"/>
      <w:lvlText w:val="%6."/>
      <w:lvlJc w:val="right"/>
      <w:pPr>
        <w:ind w:left="6588" w:hanging="180"/>
      </w:pPr>
    </w:lvl>
    <w:lvl w:ilvl="6">
      <w:start w:val="1"/>
      <w:numFmt w:val="decimal"/>
      <w:lvlText w:val="%7."/>
      <w:lvlJc w:val="left"/>
      <w:pPr>
        <w:ind w:left="7308" w:hanging="360"/>
      </w:pPr>
    </w:lvl>
    <w:lvl w:ilvl="7">
      <w:start w:val="1"/>
      <w:numFmt w:val="lowerLetter"/>
      <w:lvlText w:val="%8."/>
      <w:lvlJc w:val="left"/>
      <w:pPr>
        <w:ind w:left="8028" w:hanging="360"/>
      </w:pPr>
    </w:lvl>
    <w:lvl w:ilvl="8">
      <w:start w:val="1"/>
      <w:numFmt w:val="lowerRoman"/>
      <w:lvlText w:val="%9."/>
      <w:lvlJc w:val="right"/>
      <w:pPr>
        <w:ind w:left="8748" w:hanging="180"/>
      </w:pPr>
    </w:lvl>
  </w:abstractNum>
  <w:abstractNum w:abstractNumId="2">
    <w:nsid w:val="4B6F333F"/>
    <w:multiLevelType w:val="multilevel"/>
    <w:tmpl w:val="87DC8D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rsids>
    <w:rsidRoot w:val="00112E29"/>
    <w:rsid w:val="00112E29"/>
    <w:rsid w:val="005671B2"/>
    <w:rsid w:val="005726C7"/>
    <w:rsid w:val="00AC2C6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E16"/>
  </w:style>
  <w:style w:type="paragraph" w:styleId="Ttulo1">
    <w:name w:val="heading 1"/>
    <w:basedOn w:val="Normal1"/>
    <w:next w:val="Normal1"/>
    <w:link w:val="Ttulo1Char"/>
    <w:uiPriority w:val="99"/>
    <w:qFormat/>
    <w:rsid w:val="00BF2317"/>
    <w:pPr>
      <w:keepNext/>
      <w:widowControl/>
      <w:tabs>
        <w:tab w:val="left" w:pos="-432"/>
        <w:tab w:val="left" w:pos="10728"/>
      </w:tabs>
      <w:ind w:right="49" w:firstLine="2552"/>
      <w:jc w:val="both"/>
      <w:outlineLvl w:val="0"/>
    </w:pPr>
    <w:rPr>
      <w:rFonts w:ascii="CG Times" w:hAnsi="CG Times" w:cs="CG Times"/>
      <w:b/>
      <w:bCs/>
      <w:color w:val="000000"/>
    </w:rPr>
  </w:style>
  <w:style w:type="paragraph" w:styleId="Ttulo2">
    <w:name w:val="heading 2"/>
    <w:basedOn w:val="Normal1"/>
    <w:next w:val="Normal1"/>
    <w:link w:val="Ttulo2Char"/>
    <w:uiPriority w:val="99"/>
    <w:qFormat/>
    <w:rsid w:val="00BF2317"/>
    <w:pPr>
      <w:keepNext/>
      <w:widowControl/>
      <w:jc w:val="center"/>
      <w:outlineLvl w:val="1"/>
    </w:pPr>
    <w:rPr>
      <w:b/>
      <w:bCs/>
      <w:color w:val="000000"/>
    </w:rPr>
  </w:style>
  <w:style w:type="paragraph" w:styleId="Ttulo3">
    <w:name w:val="heading 3"/>
    <w:basedOn w:val="Normal1"/>
    <w:next w:val="Normal1"/>
    <w:link w:val="Ttulo3Char"/>
    <w:uiPriority w:val="99"/>
    <w:qFormat/>
    <w:rsid w:val="00BF2317"/>
    <w:pPr>
      <w:keepNext/>
      <w:keepLines/>
      <w:spacing w:before="280" w:after="80"/>
      <w:outlineLvl w:val="2"/>
    </w:pPr>
    <w:rPr>
      <w:b/>
      <w:bCs/>
      <w:sz w:val="28"/>
      <w:szCs w:val="28"/>
    </w:rPr>
  </w:style>
  <w:style w:type="paragraph" w:styleId="Ttulo4">
    <w:name w:val="heading 4"/>
    <w:basedOn w:val="Normal1"/>
    <w:next w:val="Normal1"/>
    <w:link w:val="Ttulo4Char"/>
    <w:uiPriority w:val="99"/>
    <w:qFormat/>
    <w:rsid w:val="00BF2317"/>
    <w:pPr>
      <w:keepNext/>
      <w:keepLines/>
      <w:spacing w:before="240" w:after="40"/>
      <w:outlineLvl w:val="3"/>
    </w:pPr>
    <w:rPr>
      <w:b/>
      <w:bCs/>
    </w:rPr>
  </w:style>
  <w:style w:type="paragraph" w:styleId="Ttulo5">
    <w:name w:val="heading 5"/>
    <w:basedOn w:val="Normal1"/>
    <w:next w:val="Normal1"/>
    <w:link w:val="Ttulo5Char"/>
    <w:uiPriority w:val="99"/>
    <w:qFormat/>
    <w:rsid w:val="00BF2317"/>
    <w:pPr>
      <w:keepNext/>
      <w:keepLines/>
      <w:spacing w:before="220" w:after="40"/>
      <w:outlineLvl w:val="4"/>
    </w:pPr>
    <w:rPr>
      <w:b/>
      <w:bCs/>
      <w:sz w:val="22"/>
      <w:szCs w:val="22"/>
    </w:rPr>
  </w:style>
  <w:style w:type="paragraph" w:styleId="Ttulo6">
    <w:name w:val="heading 6"/>
    <w:basedOn w:val="Normal1"/>
    <w:next w:val="Normal1"/>
    <w:link w:val="Ttulo6Char"/>
    <w:uiPriority w:val="99"/>
    <w:qFormat/>
    <w:rsid w:val="00BF2317"/>
    <w:pPr>
      <w:keepNext/>
      <w:keepLines/>
      <w:spacing w:before="200" w:after="40"/>
      <w:outlineLvl w:val="5"/>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5671B2"/>
    <w:tblPr>
      <w:tblCellMar>
        <w:top w:w="0" w:type="dxa"/>
        <w:left w:w="0" w:type="dxa"/>
        <w:bottom w:w="0" w:type="dxa"/>
        <w:right w:w="0" w:type="dxa"/>
      </w:tblCellMar>
    </w:tblPr>
  </w:style>
  <w:style w:type="paragraph" w:styleId="Ttulo">
    <w:name w:val="Title"/>
    <w:basedOn w:val="Normal1"/>
    <w:next w:val="Normal1"/>
    <w:link w:val="TtuloChar"/>
    <w:uiPriority w:val="99"/>
    <w:qFormat/>
    <w:rsid w:val="00BF2317"/>
    <w:pPr>
      <w:keepNext/>
      <w:spacing w:before="240" w:after="120"/>
    </w:pPr>
    <w:rPr>
      <w:rFonts w:ascii="Arial" w:hAnsi="Arial" w:cs="Arial"/>
      <w:sz w:val="28"/>
      <w:szCs w:val="28"/>
    </w:rPr>
  </w:style>
  <w:style w:type="table" w:customStyle="1" w:styleId="TableNormal0">
    <w:name w:val="Table Normal"/>
    <w:rsid w:val="005671B2"/>
    <w:tblPr>
      <w:tblCellMar>
        <w:top w:w="0" w:type="dxa"/>
        <w:left w:w="0" w:type="dxa"/>
        <w:bottom w:w="0" w:type="dxa"/>
        <w:right w:w="0" w:type="dxa"/>
      </w:tblCellMar>
    </w:tblPr>
  </w:style>
  <w:style w:type="table" w:customStyle="1" w:styleId="TableNormal1">
    <w:name w:val="Table Normal"/>
    <w:rsid w:val="005671B2"/>
    <w:tblPr>
      <w:tblCellMar>
        <w:top w:w="0" w:type="dxa"/>
        <w:left w:w="0" w:type="dxa"/>
        <w:bottom w:w="0" w:type="dxa"/>
        <w:right w:w="0" w:type="dxa"/>
      </w:tblCellMar>
    </w:tblPr>
  </w:style>
  <w:style w:type="table" w:customStyle="1" w:styleId="TableNormal2">
    <w:name w:val="Table Normal"/>
    <w:rsid w:val="005671B2"/>
    <w:tblPr>
      <w:tblCellMar>
        <w:top w:w="0" w:type="dxa"/>
        <w:left w:w="0" w:type="dxa"/>
        <w:bottom w:w="0" w:type="dxa"/>
        <w:right w:w="0" w:type="dxa"/>
      </w:tblCellMar>
    </w:tblPr>
  </w:style>
  <w:style w:type="table" w:customStyle="1" w:styleId="TableNormal3">
    <w:name w:val="Table Normal"/>
    <w:rsid w:val="005671B2"/>
    <w:tblPr>
      <w:tblCellMar>
        <w:top w:w="0" w:type="dxa"/>
        <w:left w:w="0" w:type="dxa"/>
        <w:bottom w:w="0" w:type="dxa"/>
        <w:right w:w="0" w:type="dxa"/>
      </w:tblCellMar>
    </w:tblPr>
  </w:style>
  <w:style w:type="character" w:customStyle="1" w:styleId="Ttulo1Char">
    <w:name w:val="Título 1 Char"/>
    <w:basedOn w:val="Fontepargpadro"/>
    <w:link w:val="Ttulo1"/>
    <w:uiPriority w:val="99"/>
    <w:locked/>
    <w:rsid w:val="003629BA"/>
    <w:rPr>
      <w:rFonts w:ascii="Cambria" w:hAnsi="Cambria" w:cs="Cambria"/>
      <w:b/>
      <w:bCs/>
      <w:kern w:val="32"/>
      <w:sz w:val="32"/>
      <w:szCs w:val="32"/>
    </w:rPr>
  </w:style>
  <w:style w:type="character" w:customStyle="1" w:styleId="Ttulo2Char">
    <w:name w:val="Título 2 Char"/>
    <w:basedOn w:val="Fontepargpadro"/>
    <w:link w:val="Ttulo2"/>
    <w:uiPriority w:val="99"/>
    <w:semiHidden/>
    <w:locked/>
    <w:rsid w:val="003629BA"/>
    <w:rPr>
      <w:rFonts w:ascii="Cambria" w:hAnsi="Cambria" w:cs="Cambria"/>
      <w:b/>
      <w:bCs/>
      <w:i/>
      <w:iCs/>
      <w:sz w:val="28"/>
      <w:szCs w:val="28"/>
    </w:rPr>
  </w:style>
  <w:style w:type="character" w:customStyle="1" w:styleId="Ttulo3Char">
    <w:name w:val="Título 3 Char"/>
    <w:basedOn w:val="Fontepargpadro"/>
    <w:link w:val="Ttulo3"/>
    <w:uiPriority w:val="99"/>
    <w:semiHidden/>
    <w:locked/>
    <w:rsid w:val="003629BA"/>
    <w:rPr>
      <w:rFonts w:ascii="Cambria" w:hAnsi="Cambria" w:cs="Cambria"/>
      <w:b/>
      <w:bCs/>
      <w:sz w:val="26"/>
      <w:szCs w:val="26"/>
    </w:rPr>
  </w:style>
  <w:style w:type="character" w:customStyle="1" w:styleId="Ttulo4Char">
    <w:name w:val="Título 4 Char"/>
    <w:basedOn w:val="Fontepargpadro"/>
    <w:link w:val="Ttulo4"/>
    <w:uiPriority w:val="99"/>
    <w:semiHidden/>
    <w:locked/>
    <w:rsid w:val="003629BA"/>
    <w:rPr>
      <w:rFonts w:ascii="Calibri" w:hAnsi="Calibri" w:cs="Calibri"/>
      <w:b/>
      <w:bCs/>
      <w:sz w:val="28"/>
      <w:szCs w:val="28"/>
    </w:rPr>
  </w:style>
  <w:style w:type="character" w:customStyle="1" w:styleId="Ttulo5Char">
    <w:name w:val="Título 5 Char"/>
    <w:basedOn w:val="Fontepargpadro"/>
    <w:link w:val="Ttulo5"/>
    <w:uiPriority w:val="99"/>
    <w:semiHidden/>
    <w:locked/>
    <w:rsid w:val="003629BA"/>
    <w:rPr>
      <w:rFonts w:ascii="Calibri" w:hAnsi="Calibri" w:cs="Calibri"/>
      <w:b/>
      <w:bCs/>
      <w:i/>
      <w:iCs/>
      <w:sz w:val="26"/>
      <w:szCs w:val="26"/>
    </w:rPr>
  </w:style>
  <w:style w:type="character" w:customStyle="1" w:styleId="Ttulo6Char">
    <w:name w:val="Título 6 Char"/>
    <w:basedOn w:val="Fontepargpadro"/>
    <w:link w:val="Ttulo6"/>
    <w:uiPriority w:val="99"/>
    <w:semiHidden/>
    <w:locked/>
    <w:rsid w:val="003629BA"/>
    <w:rPr>
      <w:rFonts w:ascii="Calibri" w:hAnsi="Calibri" w:cs="Calibri"/>
      <w:b/>
      <w:bCs/>
    </w:rPr>
  </w:style>
  <w:style w:type="paragraph" w:customStyle="1" w:styleId="Normal1">
    <w:name w:val="Normal1"/>
    <w:uiPriority w:val="99"/>
    <w:rsid w:val="00BF2317"/>
  </w:style>
  <w:style w:type="character" w:customStyle="1" w:styleId="TtuloChar">
    <w:name w:val="Título Char"/>
    <w:basedOn w:val="Fontepargpadro"/>
    <w:link w:val="Ttulo"/>
    <w:uiPriority w:val="99"/>
    <w:locked/>
    <w:rsid w:val="003629BA"/>
    <w:rPr>
      <w:rFonts w:ascii="Cambria" w:hAnsi="Cambria" w:cs="Cambria"/>
      <w:b/>
      <w:bCs/>
      <w:kern w:val="28"/>
      <w:sz w:val="32"/>
      <w:szCs w:val="32"/>
    </w:rPr>
  </w:style>
  <w:style w:type="paragraph" w:styleId="Subttulo">
    <w:name w:val="Subtitle"/>
    <w:basedOn w:val="Normal"/>
    <w:next w:val="Normal"/>
    <w:link w:val="SubttuloChar"/>
    <w:rsid w:val="005671B2"/>
    <w:pPr>
      <w:keepNext/>
      <w:pBdr>
        <w:top w:val="nil"/>
        <w:left w:val="nil"/>
        <w:bottom w:val="nil"/>
        <w:right w:val="nil"/>
        <w:between w:val="nil"/>
      </w:pBdr>
      <w:spacing w:before="240" w:after="120"/>
      <w:jc w:val="center"/>
    </w:pPr>
    <w:rPr>
      <w:rFonts w:ascii="Arial" w:eastAsia="Arial" w:hAnsi="Arial" w:cs="Arial"/>
      <w:i/>
      <w:color w:val="000000"/>
      <w:sz w:val="28"/>
      <w:szCs w:val="28"/>
    </w:rPr>
  </w:style>
  <w:style w:type="character" w:customStyle="1" w:styleId="SubttuloChar">
    <w:name w:val="Subtítulo Char"/>
    <w:basedOn w:val="Fontepargpadro"/>
    <w:link w:val="Subttulo"/>
    <w:uiPriority w:val="99"/>
    <w:locked/>
    <w:rsid w:val="003629BA"/>
    <w:rPr>
      <w:rFonts w:ascii="Cambria" w:hAnsi="Cambria" w:cs="Cambria"/>
      <w:sz w:val="24"/>
      <w:szCs w:val="24"/>
    </w:rPr>
  </w:style>
  <w:style w:type="table" w:customStyle="1" w:styleId="Estilo">
    <w:name w:val="Estilo"/>
    <w:uiPriority w:val="99"/>
    <w:rsid w:val="00BF2317"/>
    <w:rPr>
      <w:sz w:val="20"/>
      <w:szCs w:val="20"/>
    </w:rPr>
    <w:tblPr>
      <w:tblStyleRowBandSize w:val="1"/>
      <w:tblStyleColBandSize w:val="1"/>
      <w:tblCellMar>
        <w:top w:w="55" w:type="dxa"/>
        <w:left w:w="44" w:type="dxa"/>
        <w:bottom w:w="55" w:type="dxa"/>
        <w:right w:w="55" w:type="dxa"/>
      </w:tblCellMar>
    </w:tblPr>
  </w:style>
  <w:style w:type="table" w:customStyle="1" w:styleId="Estilo2">
    <w:name w:val="Estilo2"/>
    <w:uiPriority w:val="99"/>
    <w:rsid w:val="00BF2317"/>
    <w:rPr>
      <w:sz w:val="20"/>
      <w:szCs w:val="20"/>
    </w:rPr>
    <w:tblPr>
      <w:tblStyleRowBandSize w:val="1"/>
      <w:tblStyleColBandSize w:val="1"/>
      <w:tblCellMar>
        <w:top w:w="55" w:type="dxa"/>
        <w:left w:w="44" w:type="dxa"/>
        <w:bottom w:w="55" w:type="dxa"/>
        <w:right w:w="55" w:type="dxa"/>
      </w:tblCellMar>
    </w:tblPr>
  </w:style>
  <w:style w:type="table" w:customStyle="1" w:styleId="Estilo1">
    <w:name w:val="Estilo1"/>
    <w:uiPriority w:val="99"/>
    <w:rsid w:val="00BF2317"/>
    <w:rPr>
      <w:sz w:val="20"/>
      <w:szCs w:val="20"/>
    </w:rPr>
    <w:tblPr>
      <w:tblStyleRowBandSize w:val="1"/>
      <w:tblStyleColBandSize w:val="1"/>
      <w:tblCellMar>
        <w:top w:w="28" w:type="dxa"/>
        <w:left w:w="18" w:type="dxa"/>
        <w:bottom w:w="28" w:type="dxa"/>
        <w:right w:w="28" w:type="dxa"/>
      </w:tblCellMar>
    </w:tblPr>
  </w:style>
  <w:style w:type="paragraph" w:styleId="Textodebalo">
    <w:name w:val="Balloon Text"/>
    <w:basedOn w:val="Normal"/>
    <w:link w:val="TextodebaloChar"/>
    <w:uiPriority w:val="99"/>
    <w:semiHidden/>
    <w:rsid w:val="002A7B85"/>
    <w:rPr>
      <w:rFonts w:ascii="Tahoma" w:hAnsi="Tahoma" w:cs="Tahoma"/>
      <w:sz w:val="16"/>
      <w:szCs w:val="16"/>
    </w:rPr>
  </w:style>
  <w:style w:type="character" w:customStyle="1" w:styleId="TextodebaloChar">
    <w:name w:val="Texto de balão Char"/>
    <w:basedOn w:val="Fontepargpadro"/>
    <w:link w:val="Textodebalo"/>
    <w:uiPriority w:val="99"/>
    <w:semiHidden/>
    <w:locked/>
    <w:rsid w:val="005671B2"/>
    <w:rPr>
      <w:sz w:val="2"/>
      <w:szCs w:val="2"/>
    </w:rPr>
  </w:style>
  <w:style w:type="character" w:styleId="Refdecomentrio">
    <w:name w:val="annotation reference"/>
    <w:basedOn w:val="Fontepargpadro"/>
    <w:uiPriority w:val="99"/>
    <w:semiHidden/>
    <w:rsid w:val="002A7B85"/>
    <w:rPr>
      <w:sz w:val="16"/>
      <w:szCs w:val="16"/>
    </w:rPr>
  </w:style>
  <w:style w:type="paragraph" w:styleId="Textodecomentrio">
    <w:name w:val="annotation text"/>
    <w:basedOn w:val="Normal"/>
    <w:link w:val="TextodecomentrioChar"/>
    <w:uiPriority w:val="99"/>
    <w:semiHidden/>
    <w:rsid w:val="002A7B85"/>
    <w:pPr>
      <w:widowControl/>
    </w:pPr>
    <w:rPr>
      <w:rFonts w:ascii="Ecofont_Spranq_eco_Sans" w:eastAsia="MS Mincho" w:hAnsi="Ecofont_Spranq_eco_Sans" w:cs="Ecofont_Spranq_eco_Sans"/>
      <w:sz w:val="20"/>
      <w:szCs w:val="20"/>
    </w:rPr>
  </w:style>
  <w:style w:type="character" w:customStyle="1" w:styleId="TextodecomentrioChar">
    <w:name w:val="Texto de comentário Char"/>
    <w:basedOn w:val="Fontepargpadro"/>
    <w:link w:val="Textodecomentrio"/>
    <w:uiPriority w:val="99"/>
    <w:locked/>
    <w:rsid w:val="002A7B85"/>
    <w:rPr>
      <w:rFonts w:ascii="Ecofont_Spranq_eco_Sans" w:eastAsia="MS Mincho" w:hAnsi="Ecofont_Spranq_eco_Sans" w:cs="Ecofont_Spranq_eco_Sans"/>
      <w:lang w:val="pt-BR" w:eastAsia="pt-BR"/>
    </w:rPr>
  </w:style>
  <w:style w:type="paragraph" w:customStyle="1" w:styleId="Nivel2">
    <w:name w:val="Nivel 2"/>
    <w:basedOn w:val="Normal"/>
    <w:link w:val="Nivel2Char"/>
    <w:uiPriority w:val="99"/>
    <w:rsid w:val="002A7B85"/>
    <w:pPr>
      <w:widowControl/>
      <w:numPr>
        <w:ilvl w:val="1"/>
        <w:numId w:val="2"/>
      </w:numPr>
      <w:spacing w:before="120" w:after="120" w:line="276" w:lineRule="auto"/>
      <w:jc w:val="both"/>
    </w:pPr>
    <w:rPr>
      <w:rFonts w:ascii="Arial" w:eastAsia="MS Mincho" w:hAnsi="Arial" w:cs="Arial"/>
      <w:color w:val="000000"/>
      <w:sz w:val="20"/>
      <w:szCs w:val="20"/>
    </w:rPr>
  </w:style>
  <w:style w:type="character" w:customStyle="1" w:styleId="Nivel2Char">
    <w:name w:val="Nivel 2 Char"/>
    <w:basedOn w:val="Fontepargpadro"/>
    <w:link w:val="Nivel2"/>
    <w:uiPriority w:val="99"/>
    <w:locked/>
    <w:rsid w:val="002A7B85"/>
    <w:rPr>
      <w:rFonts w:ascii="Arial" w:eastAsia="MS Mincho" w:hAnsi="Arial" w:cs="Arial"/>
      <w:color w:val="000000"/>
      <w:lang w:val="pt-BR" w:eastAsia="pt-BR"/>
    </w:rPr>
  </w:style>
  <w:style w:type="paragraph" w:customStyle="1" w:styleId="Nivel3">
    <w:name w:val="Nivel 3"/>
    <w:basedOn w:val="Normal"/>
    <w:link w:val="Nivel3Char"/>
    <w:uiPriority w:val="99"/>
    <w:rsid w:val="00235D6E"/>
    <w:pPr>
      <w:widowControl/>
      <w:numPr>
        <w:ilvl w:val="2"/>
        <w:numId w:val="2"/>
      </w:numPr>
      <w:spacing w:before="120" w:after="120" w:line="276" w:lineRule="auto"/>
      <w:ind w:left="425"/>
      <w:jc w:val="both"/>
    </w:pPr>
    <w:rPr>
      <w:rFonts w:ascii="Arial" w:eastAsia="MS Mincho" w:hAnsi="Arial" w:cs="Arial"/>
      <w:color w:val="000000"/>
      <w:sz w:val="20"/>
      <w:szCs w:val="20"/>
    </w:rPr>
  </w:style>
  <w:style w:type="character" w:customStyle="1" w:styleId="Nivel3Char">
    <w:name w:val="Nivel 3 Char"/>
    <w:basedOn w:val="Fontepargpadro"/>
    <w:link w:val="Nivel3"/>
    <w:uiPriority w:val="99"/>
    <w:locked/>
    <w:rsid w:val="00235D6E"/>
    <w:rPr>
      <w:rFonts w:ascii="Arial" w:eastAsia="MS Mincho" w:hAnsi="Arial" w:cs="Arial"/>
      <w:color w:val="000000"/>
      <w:lang w:val="pt-BR" w:eastAsia="pt-BR"/>
    </w:rPr>
  </w:style>
  <w:style w:type="paragraph" w:customStyle="1" w:styleId="Nvel3-R">
    <w:name w:val="Nível 3-R"/>
    <w:basedOn w:val="Nivel3"/>
    <w:link w:val="Nvel3-RChar"/>
    <w:uiPriority w:val="99"/>
    <w:rsid w:val="005E3926"/>
    <w:rPr>
      <w:i/>
      <w:iCs/>
      <w:color w:val="FF0000"/>
    </w:rPr>
  </w:style>
  <w:style w:type="character" w:customStyle="1" w:styleId="Nvel3-RChar">
    <w:name w:val="Nível 3-R Char"/>
    <w:basedOn w:val="Nivel3Char"/>
    <w:link w:val="Nvel3-R"/>
    <w:uiPriority w:val="99"/>
    <w:locked/>
    <w:rsid w:val="005E3926"/>
    <w:rPr>
      <w:rFonts w:ascii="Arial" w:eastAsia="MS Mincho" w:hAnsi="Arial" w:cs="Arial"/>
      <w:i/>
      <w:iCs/>
      <w:color w:val="FF0000"/>
      <w:lang w:val="pt-BR" w:eastAsia="pt-BR"/>
    </w:rPr>
  </w:style>
  <w:style w:type="table" w:styleId="Tabelacomgrade">
    <w:name w:val="Table Grid"/>
    <w:basedOn w:val="Tabelanormal"/>
    <w:uiPriority w:val="99"/>
    <w:locked/>
    <w:rsid w:val="005E392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1">
    <w:name w:val="normal__char1"/>
    <w:uiPriority w:val="99"/>
    <w:rsid w:val="00705364"/>
    <w:rPr>
      <w:rFonts w:ascii="Arial" w:hAnsi="Arial" w:cs="Arial"/>
      <w:sz w:val="24"/>
      <w:szCs w:val="24"/>
      <w:u w:val="none"/>
      <w:effect w:val="none"/>
    </w:rPr>
  </w:style>
  <w:style w:type="character" w:styleId="Hyperlink">
    <w:name w:val="Hyperlink"/>
    <w:basedOn w:val="Fontepargpadro"/>
    <w:uiPriority w:val="99"/>
    <w:rsid w:val="00705364"/>
    <w:rPr>
      <w:color w:val="000080"/>
      <w:u w:val="single"/>
    </w:rPr>
  </w:style>
  <w:style w:type="paragraph" w:customStyle="1" w:styleId="ou">
    <w:name w:val="ou"/>
    <w:basedOn w:val="Normal"/>
    <w:link w:val="ouChar"/>
    <w:uiPriority w:val="99"/>
    <w:rsid w:val="006C1119"/>
    <w:pPr>
      <w:widowControl/>
      <w:spacing w:before="60" w:after="60" w:line="259" w:lineRule="auto"/>
      <w:jc w:val="center"/>
    </w:pPr>
    <w:rPr>
      <w:rFonts w:ascii="Arial" w:hAnsi="Arial" w:cs="Arial"/>
      <w:b/>
      <w:bCs/>
      <w:i/>
      <w:iCs/>
      <w:color w:val="FF0000"/>
      <w:u w:val="single"/>
    </w:rPr>
  </w:style>
  <w:style w:type="character" w:customStyle="1" w:styleId="ouChar">
    <w:name w:val="ou Char"/>
    <w:basedOn w:val="Fontepargpadro"/>
    <w:link w:val="ou"/>
    <w:uiPriority w:val="99"/>
    <w:locked/>
    <w:rsid w:val="006C1119"/>
    <w:rPr>
      <w:rFonts w:ascii="Arial" w:hAnsi="Arial" w:cs="Arial"/>
      <w:b/>
      <w:bCs/>
      <w:i/>
      <w:iCs/>
      <w:color w:val="FF0000"/>
      <w:sz w:val="24"/>
      <w:szCs w:val="24"/>
      <w:u w:val="single"/>
      <w:lang w:val="pt-BR" w:eastAsia="pt-BR"/>
    </w:rPr>
  </w:style>
  <w:style w:type="paragraph" w:customStyle="1" w:styleId="Nvel2-Red">
    <w:name w:val="Nível 2 -Red"/>
    <w:basedOn w:val="Nivel2"/>
    <w:link w:val="Nvel2-RedChar"/>
    <w:uiPriority w:val="99"/>
    <w:rsid w:val="006C1119"/>
    <w:rPr>
      <w:i/>
      <w:iCs/>
      <w:color w:val="FF0000"/>
    </w:rPr>
  </w:style>
  <w:style w:type="character" w:customStyle="1" w:styleId="Nvel2-RedChar">
    <w:name w:val="Nível 2 -Red Char"/>
    <w:basedOn w:val="Nivel2Char"/>
    <w:link w:val="Nvel2-Red"/>
    <w:uiPriority w:val="99"/>
    <w:locked/>
    <w:rsid w:val="006C1119"/>
    <w:rPr>
      <w:rFonts w:ascii="Arial" w:eastAsia="MS Mincho" w:hAnsi="Arial" w:cs="Arial"/>
      <w:i/>
      <w:iCs/>
      <w:color w:val="FF0000"/>
      <w:lang w:val="pt-BR" w:eastAsia="pt-BR"/>
    </w:rPr>
  </w:style>
  <w:style w:type="paragraph" w:customStyle="1" w:styleId="Nvel1-SemNum">
    <w:name w:val="Nível 1-Sem Num"/>
    <w:basedOn w:val="Normal"/>
    <w:link w:val="Nvel1-SemNumChar"/>
    <w:uiPriority w:val="99"/>
    <w:rsid w:val="005541CE"/>
    <w:pPr>
      <w:keepNext/>
      <w:keepLines/>
      <w:widowControl/>
      <w:tabs>
        <w:tab w:val="left" w:pos="567"/>
      </w:tabs>
      <w:spacing w:before="240"/>
      <w:ind w:left="357"/>
      <w:jc w:val="both"/>
      <w:outlineLvl w:val="1"/>
    </w:pPr>
    <w:rPr>
      <w:rFonts w:ascii="Arial" w:eastAsia="MS Gothic" w:hAnsi="Arial" w:cs="Arial"/>
      <w:b/>
      <w:bCs/>
      <w:color w:val="FF0000"/>
      <w:sz w:val="20"/>
      <w:szCs w:val="20"/>
    </w:rPr>
  </w:style>
  <w:style w:type="character" w:customStyle="1" w:styleId="Nvel1-SemNumChar">
    <w:name w:val="Nível 1-Sem Num Char"/>
    <w:basedOn w:val="Fontepargpadro"/>
    <w:link w:val="Nvel1-SemNum"/>
    <w:uiPriority w:val="99"/>
    <w:locked/>
    <w:rsid w:val="005541CE"/>
    <w:rPr>
      <w:rFonts w:ascii="Arial" w:eastAsia="MS Gothic" w:hAnsi="Arial" w:cs="Arial"/>
      <w:b/>
      <w:bCs/>
      <w:color w:val="FF0000"/>
      <w:lang w:val="pt-BR" w:eastAsia="pt-BR"/>
    </w:rPr>
  </w:style>
  <w:style w:type="paragraph" w:customStyle="1" w:styleId="Nivel4">
    <w:name w:val="Nivel 4"/>
    <w:basedOn w:val="Nivel3"/>
    <w:link w:val="Nivel4Char"/>
    <w:uiPriority w:val="99"/>
    <w:rsid w:val="008001C3"/>
    <w:pPr>
      <w:numPr>
        <w:ilvl w:val="3"/>
      </w:numPr>
      <w:ind w:left="851" w:firstLine="0"/>
    </w:pPr>
    <w:rPr>
      <w:color w:val="auto"/>
    </w:rPr>
  </w:style>
  <w:style w:type="character" w:customStyle="1" w:styleId="Nivel4Char">
    <w:name w:val="Nivel 4 Char"/>
    <w:basedOn w:val="Fontepargpadro"/>
    <w:link w:val="Nivel4"/>
    <w:uiPriority w:val="99"/>
    <w:locked/>
    <w:rsid w:val="008001C3"/>
    <w:rPr>
      <w:rFonts w:ascii="Arial" w:eastAsia="MS Mincho" w:hAnsi="Arial" w:cs="Arial"/>
      <w:lang w:val="pt-BR" w:eastAsia="pt-BR"/>
    </w:rPr>
  </w:style>
  <w:style w:type="table" w:customStyle="1" w:styleId="a">
    <w:basedOn w:val="Tabelanormal"/>
    <w:rsid w:val="005671B2"/>
    <w:tblPr>
      <w:tblStyleRowBandSize w:val="1"/>
      <w:tblStyleColBandSize w:val="1"/>
      <w:tblInd w:w="0" w:type="dxa"/>
      <w:tblCellMar>
        <w:top w:w="55" w:type="dxa"/>
        <w:left w:w="44" w:type="dxa"/>
        <w:bottom w:w="55" w:type="dxa"/>
        <w:right w:w="55" w:type="dxa"/>
      </w:tblCellMar>
    </w:tblPr>
  </w:style>
  <w:style w:type="table" w:customStyle="1" w:styleId="a0">
    <w:basedOn w:val="Tabelanormal"/>
    <w:rsid w:val="005671B2"/>
    <w:tblPr>
      <w:tblStyleRowBandSize w:val="1"/>
      <w:tblStyleColBandSize w:val="1"/>
      <w:tblInd w:w="0" w:type="dxa"/>
      <w:tblCellMar>
        <w:top w:w="55" w:type="dxa"/>
        <w:left w:w="44" w:type="dxa"/>
        <w:bottom w:w="55" w:type="dxa"/>
        <w:right w:w="55" w:type="dxa"/>
      </w:tblCellMar>
    </w:tblPr>
  </w:style>
  <w:style w:type="table" w:customStyle="1" w:styleId="a1">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2">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3">
    <w:basedOn w:val="Tabelanormal"/>
    <w:rsid w:val="005671B2"/>
    <w:tblPr>
      <w:tblStyleRowBandSize w:val="1"/>
      <w:tblStyleColBandSize w:val="1"/>
      <w:tblInd w:w="0" w:type="dxa"/>
      <w:tblCellMar>
        <w:top w:w="28" w:type="dxa"/>
        <w:left w:w="18" w:type="dxa"/>
        <w:bottom w:w="28" w:type="dxa"/>
        <w:right w:w="28" w:type="dxa"/>
      </w:tblCellMar>
    </w:tblPr>
  </w:style>
  <w:style w:type="table" w:customStyle="1" w:styleId="a4">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5">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6">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7">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8">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9">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a">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b">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c">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d">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e">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f0">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1">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2">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3">
    <w:basedOn w:val="Tabelanormal"/>
    <w:rsid w:val="005671B2"/>
    <w:tblPr>
      <w:tblStyleRowBandSize w:val="1"/>
      <w:tblStyleColBandSize w:val="1"/>
      <w:tblInd w:w="0" w:type="dxa"/>
      <w:tblCellMar>
        <w:top w:w="0" w:type="dxa"/>
        <w:left w:w="115" w:type="dxa"/>
        <w:bottom w:w="0" w:type="dxa"/>
        <w:right w:w="115" w:type="dxa"/>
      </w:tblCellMar>
    </w:tblPr>
  </w:style>
  <w:style w:type="table" w:customStyle="1" w:styleId="af4">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5">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6">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7">
    <w:basedOn w:val="Tabelanormal"/>
    <w:rsid w:val="005671B2"/>
    <w:tblPr>
      <w:tblStyleRowBandSize w:val="1"/>
      <w:tblStyleColBandSize w:val="1"/>
      <w:tblInd w:w="0" w:type="dxa"/>
      <w:tblCellMar>
        <w:top w:w="100" w:type="dxa"/>
        <w:left w:w="100" w:type="dxa"/>
        <w:bottom w:w="100" w:type="dxa"/>
        <w:right w:w="100" w:type="dxa"/>
      </w:tblCellMar>
    </w:tblPr>
  </w:style>
  <w:style w:type="table" w:customStyle="1" w:styleId="af8">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9">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a">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b">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c">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d">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 w:type="table" w:customStyle="1" w:styleId="afe">
    <w:basedOn w:val="Tabelanormal"/>
    <w:rsid w:val="005671B2"/>
    <w:rPr>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_ato2019-2022/2022/Decreto/D11246.htm" TargetMode="External"/><Relationship Id="rId18" Type="http://schemas.openxmlformats.org/officeDocument/2006/relationships/hyperlink" Target="https://www.planalto.gov.br/ccivil_03/_ato2019-2022/2022/Decreto/D112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styles" Target="styles.xml"/><Relationship Id="rId21" Type="http://schemas.openxmlformats.org/officeDocument/2006/relationships/hyperlink" Target="https://www.planalto.gov.br/ccivil_03/_ato2019-2022/2022/Decreto/D11246.htm" TargetMode="External"/><Relationship Id="rId34" Type="http://schemas.openxmlformats.org/officeDocument/2006/relationships/hyperlink" Target="http://www.planalto.gov.br/ccivil_03/AGU/Pareceres/2019-2022/PRC-JL-01-2020.htm" TargetMode="External"/><Relationship Id="rId42" Type="http://schemas.openxmlformats.org/officeDocument/2006/relationships/hyperlink" Target="https://www.planalto.gov.br/ccivil_03/_ato2011-2014/2013/lei/l12846.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gov.br/compras/pt-br/acesso-a-informacao/legislacao/instrucoes-normativas/instrucao-normativa-seges-me-no-26-de-13-de-abril-de-2022" TargetMode="Externa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s://www.planalto.gov.br/ccivil_03/_ato2019-2022/2022/Decreto/D11246.htm" TargetMode="External"/><Relationship Id="rId17" Type="http://schemas.openxmlformats.org/officeDocument/2006/relationships/hyperlink" Target="https://www.planalto.gov.br/ccivil_03/_ato2019-2022/2022/Decreto/D11246.htm" TargetMode="External"/><Relationship Id="rId25" Type="http://schemas.openxmlformats.org/officeDocument/2006/relationships/hyperlink" Target="https://in.gov.br/en/web/dou/-/instrucao-normativa-seges/me-n-77-de-4-de-novembro-de-2022-441681061" TargetMode="External"/><Relationship Id="rId33" Type="http://schemas.openxmlformats.org/officeDocument/2006/relationships/hyperlink" Target="https://www.planalto.gov.br/ccivil_03/leis/l842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_ato2019-2022/2022/Decreto/D11246.htm" TargetMode="External"/><Relationship Id="rId20" Type="http://schemas.openxmlformats.org/officeDocument/2006/relationships/hyperlink" Target="https://www.planalto.gov.br/ccivil_03/_ato2019-2022/2022/Decreto/D11246.htm" TargetMode="External"/><Relationship Id="rId29" Type="http://schemas.openxmlformats.org/officeDocument/2006/relationships/hyperlink" Target="https://www.trt7.jus.br/index.php?option=com_content&amp;view=article&amp;id=4885&amp;Itemid=1258"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lanalto.gov.br/ccivil_03/_ato2019-2022/2021/lei/L14133.htm" TargetMode="External"/><Relationship Id="rId11" Type="http://schemas.openxmlformats.org/officeDocument/2006/relationships/hyperlink" Target="https://www.planalto.gov.br/ccivil_03/_ato2019-2022/2022/Decreto/D11246.htm" TargetMode="External"/><Relationship Id="rId24" Type="http://schemas.openxmlformats.org/officeDocument/2006/relationships/hyperlink" Target="https://www.portaltransparencia.gov.br/sancoes/cnep" TargetMode="External"/><Relationship Id="rId32" Type="http://schemas.openxmlformats.org/officeDocument/2006/relationships/hyperlink" Target="https://www.planalto.gov.br/ccivil_03/leis/l842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s://www.planalto.gov.br/ccivil_03/leis/lcp/lcp123.htm" TargetMode="External"/><Relationship Id="rId36" Type="http://schemas.openxmlformats.org/officeDocument/2006/relationships/hyperlink" Target="http://www.planalto.gov.br/ccivil_03/_Ato2011-2014/2013/Lei/L12846.htm" TargetMode="External"/><Relationship Id="rId49" Type="http://schemas.openxmlformats.org/officeDocument/2006/relationships/hyperlink" Target="https://www.gov.br/compras/pt-br/acesso-a-informacao/legislacao/instrucoes-normativas/instrucao-normativa-seges-me-no-26-de-13-de-abril-de-2022" TargetMode="External"/><Relationship Id="rId10" Type="http://schemas.openxmlformats.org/officeDocument/2006/relationships/hyperlink" Target="https://www.planalto.gov.br/ccivil_03/_ato2019-2022/2022/Decreto/D11246.htm" TargetMode="External"/><Relationship Id="rId19" Type="http://schemas.openxmlformats.org/officeDocument/2006/relationships/hyperlink" Target="https://www.planalto.gov.br/ccivil_03/_ato2019-2022/2022/Decreto/D11246.htm" TargetMode="External"/><Relationship Id="rId31" Type="http://schemas.openxmlformats.org/officeDocument/2006/relationships/hyperlink" Target="https://www.gov.br/compras/pt-br/acesso-a-informacao/legislacao/instrucoes-normativas/instrucao-normativa-no-53-de-8-de-julho-de-2020" TargetMode="External"/><Relationship Id="rId44" Type="http://schemas.openxmlformats.org/officeDocument/2006/relationships/hyperlink" Target="http://www.planalto.gov.br/ccivil_03/_ato2019-2022/2021/lei/L14133.htm%25art159" TargetMode="External"/><Relationship Id="rId52" Type="http://schemas.openxmlformats.org/officeDocument/2006/relationships/hyperlink" Target="http://legislacao.planalto.gov.br/legisla/legislacao.nsf/Viw_Identificacao/lei%2013.709-2018?OpenDocument"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9-2022/2022/Decreto/D11246.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no-53-de-8-de-julho-de-2020" TargetMode="External"/><Relationship Id="rId35" Type="http://schemas.openxmlformats.org/officeDocument/2006/relationships/hyperlink" Target="http://www.planalto.gov.br/ccivil_03/AGU/Pareceres/2019-2022/PRC-JL-01-2020.htm" TargetMode="External"/><Relationship Id="rId43" Type="http://schemas.openxmlformats.org/officeDocument/2006/relationships/hyperlink" Target="https://www.planalto.gov.br/ccivil_03/_ato2011-2014/2013/lei/l12846.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legislacao.planalto.gov.br/legisla/legislacao.nsf/Viw_Identificacao/lei%2013.709-2018?Open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faS++eBOGtTupjZQwbrcn+lHtQ==">CgMxLjAyCGguZ2pkZ3hzMgloLjMwajB6bGwyCWlkLnR5amN3dDgAciExeDY4NUZ4VmFVTnljV3pPZTdQY2pndmhIdnktZkhsa0c=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9006</Words>
  <Characters>48638</Characters>
  <Application>Microsoft Office Word</Application>
  <DocSecurity>0</DocSecurity>
  <Lines>405</Lines>
  <Paragraphs>115</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7a Regiao</Company>
  <LinksUpToDate>false</LinksUpToDate>
  <CharactersWithSpaces>57529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renata.damasceno</dc:creator>
  <cp:lastModifiedBy>Usuário do Windows</cp:lastModifiedBy>
  <cp:revision>2</cp:revision>
  <dcterms:created xsi:type="dcterms:W3CDTF">2024-07-22T16:57:00Z</dcterms:created>
  <dcterms:modified xsi:type="dcterms:W3CDTF">2024-07-22T16:57:00Z</dcterms:modified>
</cp:coreProperties>
</file>