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1C" w:rsidRDefault="008F276B" w:rsidP="00F159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  <w:r w:rsidR="00515DBB">
        <w:rPr>
          <w:noProof/>
          <w:lang w:eastAsia="pt-BR"/>
        </w:rPr>
        <w:t xml:space="preserve"> </w:t>
      </w:r>
      <w:r w:rsidR="00F1597B">
        <w:rPr>
          <w:noProof/>
          <w:lang w:eastAsia="pt-BR"/>
        </w:rPr>
        <w:drawing>
          <wp:inline distT="0" distB="0" distL="0" distR="0">
            <wp:extent cx="587375" cy="640773"/>
            <wp:effectExtent l="19050" t="0" r="317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86" cy="6438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1C" w:rsidRPr="002E2D1C" w:rsidRDefault="002E2D1C" w:rsidP="002E2D1C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PODER JUDICIÁRIO</w:t>
      </w:r>
    </w:p>
    <w:p w:rsidR="002E2D1C" w:rsidRPr="002E2D1C" w:rsidRDefault="002E2D1C" w:rsidP="002E2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JUSTIÇA DO TRABALHO</w:t>
      </w:r>
    </w:p>
    <w:p w:rsidR="002E2D1C" w:rsidRDefault="002E2D1C" w:rsidP="002E2D1C">
      <w:pPr>
        <w:spacing w:after="0" w:line="240" w:lineRule="auto"/>
        <w:ind w:right="-91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TRIBUNAL REGIONAL DO TRABALHO DA 7ª REGIÃO</w:t>
      </w:r>
    </w:p>
    <w:p w:rsidR="005777C1" w:rsidRPr="002E2D1C" w:rsidRDefault="005777C1" w:rsidP="002E2D1C">
      <w:pPr>
        <w:spacing w:after="0" w:line="240" w:lineRule="auto"/>
        <w:ind w:right="-9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D1C" w:rsidRPr="002E2D1C" w:rsidRDefault="002E2D1C" w:rsidP="002E2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ATA DE REGISTRO DE PREÇOS</w:t>
      </w:r>
    </w:p>
    <w:p w:rsidR="002E2D1C" w:rsidRPr="002E2D1C" w:rsidRDefault="002E2D1C" w:rsidP="002E2D1C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sz w:val="20"/>
          <w:szCs w:val="20"/>
          <w:lang w:eastAsia="pt-BR"/>
        </w:rPr>
        <w:t>N.º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D738F">
        <w:rPr>
          <w:rFonts w:ascii="Arial" w:eastAsia="Times New Roman" w:hAnsi="Arial" w:cs="Arial"/>
          <w:sz w:val="20"/>
          <w:szCs w:val="20"/>
          <w:lang w:eastAsia="pt-BR"/>
        </w:rPr>
        <w:t>36</w:t>
      </w:r>
      <w:r>
        <w:rPr>
          <w:rFonts w:ascii="Arial" w:eastAsia="Times New Roman" w:hAnsi="Arial" w:cs="Arial"/>
          <w:sz w:val="20"/>
          <w:szCs w:val="20"/>
          <w:lang w:eastAsia="pt-BR"/>
        </w:rPr>
        <w:t>-2022</w:t>
      </w:r>
    </w:p>
    <w:p w:rsidR="002E2D1C" w:rsidRPr="002E2D1C" w:rsidRDefault="002E2D1C" w:rsidP="005777C1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</w:t>
      </w: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TRIBUNAL REGIONAL DO TRABALHO DA 7ª REGIÃO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com sede na Avenida Santos Dumont, nº. 3384, Bairro Aldeota, na cidade de Fortaleza/CE, CEP 60.150-163, inscrito no CNPJ/MF sob o nº. 03.235.270/</w:t>
      </w:r>
      <w:r w:rsidR="00C6397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0001-70, neste ato representada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 sua Diretora-Geral, Srª. </w:t>
      </w: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NEIARA SÃO THIAGO CYSNE FROTA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nomeada pelo Ato da Presidência nº. 72 de 07 de junho de 2018, publicada no Diário Eletrônico da Justiça do Trabalho de 08 de junho de 2018, </w:t>
      </w:r>
      <w:proofErr w:type="gramStart"/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inscrito(</w:t>
      </w:r>
      <w:proofErr w:type="gramEnd"/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no CPF sob o nº </w:t>
      </w:r>
      <w:r w:rsidR="007C47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223.935.523-91, portadora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da Carteira de Identidade nº </w:t>
      </w:r>
      <w:r w:rsidR="007C47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09598980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="007C47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SSP-CE, 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considerando o julgamento da licitação na modalidade de pregão, na forma eletrônica, para REGISTRO DE PREÇOS nº </w:t>
      </w:r>
      <w:r w:rsidR="006A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35/2022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referente ao processo administrativo n.º </w:t>
      </w:r>
      <w:r w:rsidR="006A347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4323/2022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RESOLVE registrar os preços da  empresa indicada e qualificada nesta ATA, de acordo com a classificação por ela alcançada e na  quantidade  cotada, atendendo as condições previstas no edital, sujeitando-se as partes às normas constantes na Lei nº 8.666, de 21 de junho de 1993 e suas alterações, no Decreto n.º 7.892, de 23 de janeiro de 2013, e em conformidade com as disposições a seguir: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1. DO OBJETO</w:t>
      </w:r>
    </w:p>
    <w:p w:rsidR="002E2D1C" w:rsidRDefault="002E2D1C" w:rsidP="005777C1">
      <w:pPr>
        <w:spacing w:before="119" w:after="119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E2D1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1.1.</w:t>
      </w:r>
      <w:r w:rsidRPr="002E2D1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Pr="002E2D1C">
        <w:rPr>
          <w:rFonts w:ascii="Arial" w:eastAsia="Times New Roman" w:hAnsi="Arial" w:cs="Arial"/>
          <w:sz w:val="20"/>
          <w:szCs w:val="20"/>
          <w:lang w:eastAsia="pt-BR"/>
        </w:rPr>
        <w:t>A presente</w:t>
      </w:r>
      <w:proofErr w:type="gramEnd"/>
      <w:r w:rsidRPr="002E2D1C">
        <w:rPr>
          <w:rFonts w:ascii="Arial" w:eastAsia="Times New Roman" w:hAnsi="Arial" w:cs="Arial"/>
          <w:sz w:val="20"/>
          <w:szCs w:val="20"/>
          <w:lang w:eastAsia="pt-BR"/>
        </w:rPr>
        <w:t xml:space="preserve"> Ata tem por objeto o registro de preços para a eventual aquisição de material de expediente, especificados no ite</w:t>
      </w:r>
      <w:r w:rsidR="007D738F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Pr="002E2D1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D738F">
        <w:rPr>
          <w:rFonts w:ascii="Arial" w:eastAsia="Times New Roman" w:hAnsi="Arial" w:cs="Arial"/>
          <w:sz w:val="20"/>
          <w:szCs w:val="20"/>
          <w:lang w:eastAsia="pt-BR"/>
        </w:rPr>
        <w:t>22</w:t>
      </w:r>
      <w:r w:rsidRPr="002E2D1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B4A15">
        <w:rPr>
          <w:rFonts w:ascii="Arial" w:eastAsia="Times New Roman" w:hAnsi="Arial" w:cs="Arial"/>
          <w:sz w:val="20"/>
          <w:szCs w:val="20"/>
          <w:lang w:eastAsia="pt-BR"/>
        </w:rPr>
        <w:t xml:space="preserve">do </w:t>
      </w:r>
      <w:r w:rsidRPr="002E2D1C">
        <w:rPr>
          <w:rFonts w:ascii="Arial" w:eastAsia="Times New Roman" w:hAnsi="Arial" w:cs="Arial"/>
          <w:sz w:val="20"/>
          <w:szCs w:val="20"/>
          <w:lang w:eastAsia="pt-BR"/>
        </w:rPr>
        <w:t xml:space="preserve">Anexo I do Termo de Referência, anexo do edital </w:t>
      </w:r>
      <w:r w:rsidRPr="000B4A15">
        <w:rPr>
          <w:rFonts w:ascii="Arial" w:eastAsia="Times New Roman" w:hAnsi="Arial" w:cs="Arial"/>
          <w:sz w:val="20"/>
          <w:szCs w:val="20"/>
          <w:lang w:eastAsia="pt-BR"/>
        </w:rPr>
        <w:t xml:space="preserve">do </w:t>
      </w:r>
      <w:r w:rsidRPr="000B4A15">
        <w:rPr>
          <w:rFonts w:ascii="Arial" w:eastAsia="Times New Roman" w:hAnsi="Arial" w:cs="Arial"/>
          <w:iCs/>
          <w:sz w:val="20"/>
          <w:szCs w:val="20"/>
          <w:lang w:eastAsia="pt-BR"/>
        </w:rPr>
        <w:t>Pregão</w:t>
      </w:r>
      <w:r w:rsidRPr="000B4A15">
        <w:rPr>
          <w:rFonts w:ascii="Arial" w:eastAsia="Times New Roman" w:hAnsi="Arial" w:cs="Arial"/>
          <w:sz w:val="20"/>
          <w:szCs w:val="20"/>
          <w:lang w:eastAsia="pt-BR"/>
        </w:rPr>
        <w:t xml:space="preserve"> nº</w:t>
      </w:r>
      <w:r w:rsidRPr="002E2D1C">
        <w:rPr>
          <w:rFonts w:ascii="Arial" w:eastAsia="Times New Roman" w:hAnsi="Arial" w:cs="Arial"/>
          <w:sz w:val="20"/>
          <w:szCs w:val="20"/>
          <w:lang w:eastAsia="pt-BR"/>
        </w:rPr>
        <w:t xml:space="preserve"> 35/2022, que é parte integrante desta Ata, assim como a proposta vencedora, independentemente de transcrição.</w:t>
      </w:r>
    </w:p>
    <w:p w:rsidR="00FB7EE1" w:rsidRPr="002E2D1C" w:rsidRDefault="00FB7EE1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2. DOS PREÇOS, ESPECIFICAÇÕES E QUANTITATIVOS</w:t>
      </w:r>
    </w:p>
    <w:p w:rsid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2.1.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preço registrado, as especificações do objeto, a quantidade, fornecedor e as demais condições ofertadas na proposta são as que seguem: </w:t>
      </w:r>
    </w:p>
    <w:tbl>
      <w:tblPr>
        <w:tblW w:w="85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616"/>
        <w:gridCol w:w="403"/>
        <w:gridCol w:w="885"/>
        <w:gridCol w:w="683"/>
        <w:gridCol w:w="763"/>
        <w:gridCol w:w="906"/>
        <w:gridCol w:w="796"/>
        <w:gridCol w:w="1117"/>
      </w:tblGrid>
      <w:tr w:rsidR="005777C1" w:rsidRPr="002E2D1C" w:rsidTr="00F20CD4">
        <w:trPr>
          <w:trHeight w:val="375"/>
          <w:tblCellSpacing w:w="0" w:type="dxa"/>
        </w:trPr>
        <w:tc>
          <w:tcPr>
            <w:tcW w:w="856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5777C1" w:rsidRPr="000B4A15" w:rsidRDefault="005777C1" w:rsidP="005777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Fornecedor: </w:t>
            </w:r>
            <w:r w:rsidR="000B4A15"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ADESTAK AUTOADESIVOS E LAMINADOS LTDA</w:t>
            </w:r>
          </w:p>
          <w:p w:rsidR="005777C1" w:rsidRPr="000B4A15" w:rsidRDefault="005777C1" w:rsidP="005777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CNPJ: 34.021.009/0001-09 – IE: 126.301.764.117</w:t>
            </w:r>
          </w:p>
          <w:p w:rsidR="005777C1" w:rsidRPr="000B4A15" w:rsidRDefault="005777C1" w:rsidP="005777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Endereço: Rua Alberto de Freitas, 26, Vila Maria</w:t>
            </w:r>
            <w:r w:rsidR="00F2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,</w:t>
            </w:r>
            <w:r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32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São Paulo/SP</w:t>
            </w:r>
            <w:r w:rsidR="00F20CD4"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, C</w:t>
            </w:r>
            <w:r w:rsidR="00F2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EP</w:t>
            </w:r>
            <w:r w:rsidR="00F20CD4"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02.126-010</w:t>
            </w:r>
            <w:r w:rsidR="00F20CD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  <w:p w:rsidR="005777C1" w:rsidRPr="000B4A15" w:rsidRDefault="005777C1" w:rsidP="005777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Contato: (11) 2954-6555 – E-mail: adestack@adestack.com.br</w:t>
            </w:r>
          </w:p>
          <w:p w:rsidR="005777C1" w:rsidRPr="002E2D1C" w:rsidRDefault="005777C1" w:rsidP="000B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Representante</w:t>
            </w:r>
            <w:r w:rsidR="00F3221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Proprietário</w:t>
            </w:r>
            <w:r w:rsidRP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: Henrique Ferreira de Paula</w:t>
            </w:r>
            <w:r w:rsid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0B4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CPF: 321.356.288-24</w:t>
            </w:r>
            <w:r w:rsidR="000B4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- </w:t>
            </w:r>
            <w:r w:rsidRPr="000B4A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RG: 39.022.930-1</w:t>
            </w:r>
          </w:p>
        </w:tc>
      </w:tr>
      <w:tr w:rsidR="005777C1" w:rsidRPr="002E2D1C" w:rsidTr="00F20CD4">
        <w:trPr>
          <w:trHeight w:val="140"/>
          <w:tblCellSpacing w:w="0" w:type="dxa"/>
        </w:trPr>
        <w:tc>
          <w:tcPr>
            <w:tcW w:w="856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5777C1" w:rsidRPr="005777C1" w:rsidRDefault="005777C1" w:rsidP="005777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77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GRUPO </w:t>
            </w:r>
            <w:r w:rsidR="000B4A1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0</w:t>
            </w:r>
            <w:r w:rsidRPr="00577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020AC3" w:rsidRPr="002E2D1C" w:rsidTr="00F20CD4">
        <w:trPr>
          <w:trHeight w:val="390"/>
          <w:tblCellSpacing w:w="0" w:type="dxa"/>
        </w:trPr>
        <w:tc>
          <w:tcPr>
            <w:tcW w:w="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2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2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ESPECIFICAÇÃO</w:t>
            </w:r>
          </w:p>
        </w:tc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2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UNID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2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QDE A REGISTRAR</w:t>
            </w:r>
          </w:p>
        </w:tc>
        <w:tc>
          <w:tcPr>
            <w:tcW w:w="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020AC3" w:rsidRDefault="00020AC3" w:rsidP="005777C1">
            <w:pPr>
              <w:spacing w:before="100" w:beforeAutospacing="1" w:after="119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PEDIDO MÍNIMO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020AC3" w:rsidRDefault="00020AC3" w:rsidP="005777C1">
            <w:pPr>
              <w:spacing w:before="100" w:beforeAutospacing="1" w:after="119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CATMAT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Marca e Fabricante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2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Preço médio (R$)</w:t>
            </w: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E2D1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Valor Total (R$)</w:t>
            </w:r>
          </w:p>
        </w:tc>
      </w:tr>
      <w:tr w:rsidR="00020AC3" w:rsidRPr="002E2D1C" w:rsidTr="0042023E">
        <w:trPr>
          <w:trHeight w:val="885"/>
          <w:tblCellSpacing w:w="0" w:type="dxa"/>
        </w:trPr>
        <w:tc>
          <w:tcPr>
            <w:tcW w:w="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26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0AC3" w:rsidRPr="002E2D1C" w:rsidRDefault="00020AC3" w:rsidP="005777C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Etiqueta de patrimônio,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auto-adesiva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, personalizada, confeccionada em poliéster cromo fosco prata, no tamanho 45mm x 20mm x 1 coluna, com variação em até 3% nas medidas; com espessura de 0,05mm, alta resistência à abrasão; resistente a radiação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uv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; média resistência à química; para aplicação em temperatura ambiente e em alta temperatura; com temperatura mínima de aplicação de -4°C. Apresentação: Bobina com 100 etiquetas. Observação: A arte da personalização das etiquetas, com logomarca e numeração que será ajustada após a contratação.</w:t>
            </w:r>
          </w:p>
        </w:tc>
        <w:tc>
          <w:tcPr>
            <w:tcW w:w="4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20AC3" w:rsidRPr="005777C1" w:rsidRDefault="00020AC3" w:rsidP="005777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77C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UNID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0AC3" w:rsidRPr="005777C1" w:rsidRDefault="00020AC3" w:rsidP="005777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77C1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5000</w:t>
            </w:r>
          </w:p>
        </w:tc>
        <w:tc>
          <w:tcPr>
            <w:tcW w:w="6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0AC3" w:rsidRPr="005777C1" w:rsidRDefault="0042023E" w:rsidP="005777C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777C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2000</w:t>
            </w:r>
          </w:p>
        </w:tc>
        <w:tc>
          <w:tcPr>
            <w:tcW w:w="7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20AC3" w:rsidRPr="005777C1" w:rsidRDefault="0042023E" w:rsidP="005777C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777C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413676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0AC3" w:rsidRPr="005777C1" w:rsidRDefault="00020AC3" w:rsidP="005777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77C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COLACRIL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0AC3" w:rsidRPr="005777C1" w:rsidRDefault="00020AC3" w:rsidP="005777C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777C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0,46</w:t>
            </w:r>
          </w:p>
        </w:tc>
        <w:tc>
          <w:tcPr>
            <w:tcW w:w="11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20AC3" w:rsidRPr="005777C1" w:rsidRDefault="00020AC3" w:rsidP="005777C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5777C1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2.300,00</w:t>
            </w:r>
          </w:p>
        </w:tc>
      </w:tr>
      <w:tr w:rsidR="005777C1" w:rsidRPr="002E2D1C" w:rsidTr="005777C1">
        <w:trPr>
          <w:trHeight w:val="209"/>
          <w:tblCellSpacing w:w="0" w:type="dxa"/>
        </w:trPr>
        <w:tc>
          <w:tcPr>
            <w:tcW w:w="856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77C1" w:rsidRPr="005777C1" w:rsidRDefault="005777C1" w:rsidP="005777C1">
            <w:pPr>
              <w:spacing w:before="100" w:beforeAutospacing="1" w:after="0" w:line="21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5777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GERAL: R$ 2.300,00 (Dois Mil e Trezentos Reais)</w:t>
            </w:r>
          </w:p>
        </w:tc>
      </w:tr>
    </w:tbl>
    <w:p w:rsidR="002E2D1C" w:rsidRPr="005777C1" w:rsidRDefault="002E2D1C" w:rsidP="005777C1">
      <w:pPr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7C1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3. ÓRGÃO GERENCIADOR</w:t>
      </w:r>
    </w:p>
    <w:p w:rsidR="002E2D1C" w:rsidRDefault="002E2D1C" w:rsidP="005777C1">
      <w:pPr>
        <w:spacing w:before="119" w:after="119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t-BR"/>
        </w:rPr>
      </w:pPr>
      <w:r w:rsidRPr="005777C1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3.1.</w:t>
      </w:r>
      <w:r w:rsidRPr="005777C1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O órgão gerenciador será o Tribunal Regional do Trabalho da 7ª Região.</w:t>
      </w:r>
    </w:p>
    <w:p w:rsidR="000B4A15" w:rsidRPr="005777C1" w:rsidRDefault="000B4A15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D1C" w:rsidRPr="005777C1" w:rsidRDefault="002E2D1C" w:rsidP="000B4A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7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4. DA ADESÃO À ATA DE REGISTRO DE PREÇOS </w:t>
      </w:r>
    </w:p>
    <w:p w:rsidR="002E2D1C" w:rsidRDefault="002E2D1C" w:rsidP="005777C1">
      <w:pPr>
        <w:spacing w:before="119" w:after="119" w:line="240" w:lineRule="auto"/>
        <w:jc w:val="both"/>
        <w:rPr>
          <w:rFonts w:ascii="Arial" w:eastAsia="Times New Roman" w:hAnsi="Arial" w:cs="Arial"/>
          <w:iCs/>
          <w:color w:val="FF0000"/>
          <w:sz w:val="20"/>
          <w:szCs w:val="20"/>
          <w:lang w:eastAsia="pt-BR"/>
        </w:rPr>
      </w:pPr>
      <w:r w:rsidRPr="005777C1">
        <w:rPr>
          <w:rFonts w:ascii="Arial" w:eastAsia="Times New Roman" w:hAnsi="Arial" w:cs="Arial"/>
          <w:b/>
          <w:bCs/>
          <w:iCs/>
          <w:sz w:val="20"/>
          <w:szCs w:val="20"/>
          <w:lang w:eastAsia="pt-BR"/>
        </w:rPr>
        <w:t>4.1.</w:t>
      </w:r>
      <w:r w:rsidRPr="005777C1">
        <w:rPr>
          <w:rFonts w:ascii="Arial" w:eastAsia="Times New Roman" w:hAnsi="Arial" w:cs="Arial"/>
          <w:iCs/>
          <w:sz w:val="20"/>
          <w:szCs w:val="20"/>
          <w:lang w:eastAsia="pt-BR"/>
        </w:rPr>
        <w:t xml:space="preserve"> Não será admitida a adesão à ata de registro de preços decorrente desta licitação</w:t>
      </w:r>
      <w:r w:rsidRPr="005777C1">
        <w:rPr>
          <w:rFonts w:ascii="Arial" w:eastAsia="Times New Roman" w:hAnsi="Arial" w:cs="Arial"/>
          <w:iCs/>
          <w:color w:val="FF0000"/>
          <w:sz w:val="20"/>
          <w:szCs w:val="20"/>
          <w:lang w:eastAsia="pt-BR"/>
        </w:rPr>
        <w:t>.</w:t>
      </w:r>
    </w:p>
    <w:p w:rsidR="000B4A15" w:rsidRPr="005777C1" w:rsidRDefault="000B4A15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D1C" w:rsidRPr="005777C1" w:rsidRDefault="002E2D1C" w:rsidP="005777C1">
      <w:pPr>
        <w:spacing w:before="238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777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5. VALIDADE DA ATA </w:t>
      </w:r>
    </w:p>
    <w:p w:rsidR="002E2D1C" w:rsidRDefault="002E2D1C" w:rsidP="005777C1">
      <w:pPr>
        <w:spacing w:before="119" w:after="11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777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5.1.</w:t>
      </w:r>
      <w:r w:rsidRPr="005777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respectiva </w:t>
      </w:r>
      <w:r w:rsidRPr="005777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Ata de Registro de Preços - ARP</w:t>
      </w:r>
      <w:r w:rsidRPr="005777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terá </w:t>
      </w:r>
      <w:r w:rsidRPr="005777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vigência</w:t>
      </w:r>
      <w:r w:rsidRPr="005777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</w:t>
      </w:r>
      <w:r w:rsidRPr="005777C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12 (doze) meses</w:t>
      </w:r>
      <w:r w:rsidRPr="005777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contado a partir de sua assinatura.</w:t>
      </w:r>
    </w:p>
    <w:p w:rsidR="000B4A15" w:rsidRPr="002E2D1C" w:rsidRDefault="000B4A15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D1C" w:rsidRPr="0004178E" w:rsidRDefault="002E2D1C" w:rsidP="005777C1">
      <w:pPr>
        <w:spacing w:before="238"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78E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 DO CADASTRO DE RESERVA</w:t>
      </w:r>
    </w:p>
    <w:p w:rsidR="002E2D1C" w:rsidRPr="0004178E" w:rsidRDefault="002E2D1C" w:rsidP="005777C1">
      <w:pPr>
        <w:spacing w:before="238"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78E">
        <w:rPr>
          <w:rFonts w:ascii="Arial" w:eastAsia="Times New Roman" w:hAnsi="Arial" w:cs="Arial"/>
          <w:sz w:val="20"/>
          <w:szCs w:val="20"/>
          <w:lang w:eastAsia="pt-BR"/>
        </w:rPr>
        <w:t>6.1. Não houve formação de cadastro de reserva</w:t>
      </w:r>
    </w:p>
    <w:p w:rsidR="002E2D1C" w:rsidRPr="002E2D1C" w:rsidRDefault="002E2D1C" w:rsidP="005777C1">
      <w:pPr>
        <w:spacing w:before="238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 REVISÃO E CANCELAMENTO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7.1.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preços registrados poderão ser revistos em decorrência de eventual redução dos preços praticados no mercado ou de fato que eleve o custo do objeto registrado, cabendo à Administração promover as negociações junto ao fornecedor.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7.2.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Quando o preço registrado tornar-se superior ao preço praticado no mercado por motivo superveniente, a Administração convocará o fornecedor para negociar a redução dos preços aos valores praticados pelo mercado.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7.3.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fornecedor que não aceitar reduzir seu preço ao valor praticado pelo mercado será liberado do compromisso assumido, sem aplicação de penalidade.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7.4.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Quando o preço de mercado tornar-se superior aos preços registrados e o fornecedor não puder cumprir o compromisso, o órgão gerenciador poderá: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7.4.1.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liberar o fornecedor do compromisso assumido, caso a comunicação ocorra antes do pedido de fornecimento, e sem aplicação da penalidade se confirmada a veracidade dos motivos e comprovantes apresentados; e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7.4.2.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convocar os demais fornecedores para assegurar igual oportunidade de negociação.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7.5.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havendo êxito nas negociações, o órgão gerenciador deverá proceder à revogação desta ata de registro de preços, adotando as medidas cabíveis para obtenção da contratação mais vantajosa.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7.6.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registro do fornecedor será cancelado quando: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7.6.1.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descumprir as condições da ata de registro de preços;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7.6.2.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retirar a nota de empenho ou instrumento equivalente no prazo estabelecido pela Administração, sem justificativa aceitável;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7.6.3.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não aceitar reduzir o seu preço registrado, na hipótese deste se tornar superior àqueles praticados no mercado; ou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7.6.4.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sofrer</w:t>
      </w:r>
      <w:proofErr w:type="gramEnd"/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sanção administrativa cujo efeito torne-o proibido de celebrar contrato administrativo, alcançando o órgão gerenciador e órgão participante.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7.7.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cancelamento de registros nas hipóteses previstas nos </w:t>
      </w:r>
      <w:r w:rsidRPr="002E2D1C">
        <w:rPr>
          <w:rFonts w:ascii="Arial" w:eastAsia="Times New Roman" w:hAnsi="Arial" w:cs="Arial"/>
          <w:sz w:val="20"/>
          <w:szCs w:val="20"/>
          <w:lang w:eastAsia="pt-BR"/>
        </w:rPr>
        <w:t xml:space="preserve">itens </w:t>
      </w:r>
      <w:r w:rsidRPr="002E2D1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7.6.1, 7.6.2 e 7.6.4</w:t>
      </w:r>
      <w:r w:rsidRPr="002E2D1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será formalizado por despacho do órgão gerenciador, assegurado o contraditório e a ampla defesa.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7.8.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 cancelamento do registro de preços poderá ocorrer por fato superveniente, decorrente de caso fortuito ou força maior, que prejudique o cumprimento da ata, devidamente comprovados e justificados: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7.8.1.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 razão de interesse público; ou</w:t>
      </w:r>
    </w:p>
    <w:p w:rsidR="002E2D1C" w:rsidRDefault="002E2D1C" w:rsidP="005777C1">
      <w:pPr>
        <w:spacing w:before="119" w:after="119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7.8.2.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gramStart"/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pedido do fornecedor. </w:t>
      </w:r>
    </w:p>
    <w:p w:rsidR="000B4A15" w:rsidRPr="002E2D1C" w:rsidRDefault="000B4A15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2D1C" w:rsidRPr="002E2D1C" w:rsidRDefault="002E2D1C" w:rsidP="005777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8. CONDIÇÕES GERAIS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8.1.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2E2D1C" w:rsidRPr="002E2D1C" w:rsidRDefault="002E2D1C" w:rsidP="005777C1">
      <w:pPr>
        <w:spacing w:before="119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8.2.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vedado efetuar acréscimos nos quantitativos fixados nesta ata de registro de preços, inclusive o acréscimo de que trata o § 1º do art. 65 da Lei</w:t>
      </w:r>
      <w:r w:rsidRPr="002E2D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nº 8.666/93.</w:t>
      </w:r>
    </w:p>
    <w:p w:rsidR="002E2D1C" w:rsidRPr="002E2D1C" w:rsidRDefault="002E2D1C" w:rsidP="005777C1">
      <w:pPr>
        <w:spacing w:before="100" w:beforeAutospacing="1"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Para firmeza e validade do pactuado, a presente Ata foi lavrada em </w:t>
      </w:r>
      <w:r w:rsidR="000417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</w:t>
      </w:r>
      <w:r w:rsidRPr="002E2D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vias de igual teor, que, depois de lida e achada em ordem, vai assinada pelas partes.</w:t>
      </w:r>
    </w:p>
    <w:p w:rsidR="002E2D1C" w:rsidRDefault="002E2D1C" w:rsidP="005777C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D1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</w: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Fonts w:ascii="Arial" w:hAnsi="Arial"/>
          <w:kern w:val="0"/>
          <w:sz w:val="20"/>
          <w:szCs w:val="20"/>
        </w:rPr>
      </w:pPr>
      <w:r>
        <w:rPr>
          <w:rStyle w:val="Fontepargpadro2"/>
          <w:rFonts w:ascii="Arial" w:hAnsi="Arial"/>
          <w:kern w:val="0"/>
          <w:sz w:val="20"/>
          <w:szCs w:val="20"/>
        </w:rPr>
        <w:t>Fortaleza, (data da última assinatura digital</w:t>
      </w:r>
      <w:proofErr w:type="gramStart"/>
      <w:r>
        <w:rPr>
          <w:rStyle w:val="Fontepargpadro2"/>
          <w:rFonts w:ascii="Arial" w:hAnsi="Arial"/>
          <w:kern w:val="0"/>
          <w:sz w:val="20"/>
          <w:szCs w:val="20"/>
        </w:rPr>
        <w:t>)</w:t>
      </w:r>
      <w:proofErr w:type="gramEnd"/>
    </w:p>
    <w:p w:rsidR="002E2D1C" w:rsidRPr="005808C1" w:rsidRDefault="002E2D1C" w:rsidP="005777C1">
      <w:pPr>
        <w:spacing w:before="100" w:beforeAutospacing="1" w:after="0" w:line="240" w:lineRule="auto"/>
        <w:ind w:right="-28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/>
          <w:bCs/>
          <w:kern w:val="0"/>
          <w:sz w:val="20"/>
          <w:szCs w:val="20"/>
        </w:rPr>
      </w:pP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/>
          <w:bCs/>
          <w:kern w:val="0"/>
          <w:sz w:val="20"/>
          <w:szCs w:val="20"/>
        </w:rPr>
      </w:pP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/>
          <w:bCs/>
          <w:kern w:val="0"/>
          <w:sz w:val="20"/>
          <w:szCs w:val="20"/>
        </w:rPr>
      </w:pP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/>
          <w:bCs/>
          <w:kern w:val="0"/>
          <w:sz w:val="20"/>
          <w:szCs w:val="20"/>
        </w:rPr>
      </w:pP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/>
          <w:bCs/>
          <w:kern w:val="0"/>
          <w:sz w:val="20"/>
          <w:szCs w:val="20"/>
        </w:rPr>
      </w:pPr>
    </w:p>
    <w:p w:rsidR="005808C1" w:rsidRPr="00D320A9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kern w:val="0"/>
          <w:sz w:val="22"/>
          <w:szCs w:val="22"/>
        </w:rPr>
      </w:pPr>
      <w:r w:rsidRPr="00D320A9">
        <w:rPr>
          <w:rStyle w:val="Fontepargpadro2"/>
          <w:rFonts w:ascii="Arial" w:hAnsi="Arial"/>
          <w:b/>
          <w:bCs/>
          <w:kern w:val="0"/>
          <w:sz w:val="22"/>
          <w:szCs w:val="22"/>
        </w:rPr>
        <w:t>NEIARA SÃO THIAGO CYSNE FROTA</w:t>
      </w: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/>
          <w:kern w:val="0"/>
          <w:sz w:val="22"/>
          <w:szCs w:val="22"/>
        </w:rPr>
      </w:pPr>
      <w:r w:rsidRPr="00D320A9">
        <w:rPr>
          <w:rStyle w:val="Fontepargpadro2"/>
          <w:rFonts w:ascii="Arial" w:hAnsi="Arial"/>
          <w:b/>
          <w:kern w:val="0"/>
          <w:sz w:val="22"/>
          <w:szCs w:val="22"/>
        </w:rPr>
        <w:t>TRIBUNAL REGIONAL DO TRABLHO DA 7ª REGIÃO</w:t>
      </w:r>
    </w:p>
    <w:p w:rsidR="00D320A9" w:rsidRPr="00D320A9" w:rsidRDefault="00D320A9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Cs/>
          <w:kern w:val="0"/>
          <w:sz w:val="22"/>
          <w:szCs w:val="22"/>
        </w:rPr>
      </w:pPr>
      <w:r>
        <w:rPr>
          <w:rStyle w:val="Fontepargpadro2"/>
          <w:rFonts w:ascii="Arial" w:hAnsi="Arial"/>
          <w:bCs/>
          <w:kern w:val="0"/>
          <w:sz w:val="22"/>
          <w:szCs w:val="22"/>
        </w:rPr>
        <w:t>CONTRATANTE</w:t>
      </w:r>
    </w:p>
    <w:p w:rsidR="00D320A9" w:rsidRDefault="00D320A9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/>
          <w:kern w:val="0"/>
          <w:sz w:val="22"/>
          <w:szCs w:val="22"/>
        </w:rPr>
      </w:pPr>
    </w:p>
    <w:p w:rsidR="00D320A9" w:rsidRPr="00D320A9" w:rsidRDefault="00D320A9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kern w:val="0"/>
          <w:sz w:val="22"/>
          <w:szCs w:val="22"/>
        </w:rPr>
      </w:pPr>
    </w:p>
    <w:p w:rsidR="002E2D1C" w:rsidRPr="002E2D1C" w:rsidRDefault="002E2D1C" w:rsidP="005777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 w:cs="Arial"/>
          <w:b/>
          <w:sz w:val="22"/>
          <w:szCs w:val="22"/>
        </w:rPr>
      </w:pP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 w:cs="Arial"/>
          <w:b/>
          <w:sz w:val="22"/>
          <w:szCs w:val="22"/>
        </w:rPr>
      </w:pPr>
    </w:p>
    <w:p w:rsidR="005808C1" w:rsidRDefault="005808C1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 w:cs="Arial"/>
          <w:b/>
          <w:sz w:val="22"/>
          <w:szCs w:val="22"/>
        </w:rPr>
      </w:pPr>
    </w:p>
    <w:p w:rsidR="005808C1" w:rsidRDefault="00D320A9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kern w:val="0"/>
          <w:sz w:val="22"/>
          <w:szCs w:val="22"/>
        </w:rPr>
      </w:pPr>
      <w:r>
        <w:rPr>
          <w:rStyle w:val="Fontepargpadro2"/>
          <w:rFonts w:ascii="Arial" w:hAnsi="Arial" w:cs="Arial"/>
          <w:b/>
          <w:sz w:val="22"/>
          <w:szCs w:val="22"/>
        </w:rPr>
        <w:t>HENRIQUE FERREIRA DE PAULA</w:t>
      </w:r>
    </w:p>
    <w:p w:rsidR="00421A9E" w:rsidRDefault="00D320A9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 w:cs="Arial"/>
          <w:b/>
          <w:sz w:val="22"/>
          <w:szCs w:val="22"/>
        </w:rPr>
      </w:pPr>
      <w:r>
        <w:rPr>
          <w:rStyle w:val="Fontepargpadro2"/>
          <w:rFonts w:ascii="Arial" w:hAnsi="Arial" w:cs="Arial"/>
          <w:b/>
          <w:sz w:val="22"/>
          <w:szCs w:val="22"/>
        </w:rPr>
        <w:t>ADESTACK AUTOADESIVOS E LAMINADOS LTDA</w:t>
      </w:r>
    </w:p>
    <w:p w:rsidR="00D320A9" w:rsidRPr="00D320A9" w:rsidRDefault="00D320A9" w:rsidP="005777C1">
      <w:pPr>
        <w:pStyle w:val="Normal2"/>
        <w:suppressAutoHyphens w:val="0"/>
        <w:autoSpaceDE w:val="0"/>
        <w:ind w:right="-30"/>
        <w:jc w:val="center"/>
        <w:textAlignment w:val="auto"/>
        <w:rPr>
          <w:rStyle w:val="Fontepargpadro2"/>
          <w:rFonts w:ascii="Arial" w:hAnsi="Arial"/>
          <w:bCs/>
          <w:kern w:val="0"/>
          <w:sz w:val="22"/>
          <w:szCs w:val="22"/>
        </w:rPr>
      </w:pPr>
      <w:r w:rsidRPr="00D320A9">
        <w:rPr>
          <w:rStyle w:val="Fontepargpadro2"/>
          <w:rFonts w:ascii="Arial" w:hAnsi="Arial" w:cs="Arial"/>
          <w:bCs/>
          <w:sz w:val="22"/>
          <w:szCs w:val="22"/>
        </w:rPr>
        <w:t>CONTRATADA</w:t>
      </w:r>
    </w:p>
    <w:p w:rsidR="005808C1" w:rsidRDefault="005808C1" w:rsidP="005777C1">
      <w:pPr>
        <w:pStyle w:val="Normal1"/>
        <w:widowControl w:val="0"/>
        <w:ind w:right="-30"/>
        <w:jc w:val="both"/>
      </w:pPr>
    </w:p>
    <w:p w:rsidR="002E2D1C" w:rsidRPr="002E2D1C" w:rsidRDefault="002E2D1C" w:rsidP="005777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115" w:rsidRDefault="00A41115" w:rsidP="005777C1">
      <w:pPr>
        <w:jc w:val="both"/>
      </w:pPr>
    </w:p>
    <w:sectPr w:rsidR="00A41115" w:rsidSect="005777C1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BB" w:rsidRDefault="00515DBB" w:rsidP="00B4283C">
      <w:pPr>
        <w:spacing w:after="0" w:line="240" w:lineRule="auto"/>
      </w:pPr>
      <w:r>
        <w:separator/>
      </w:r>
    </w:p>
  </w:endnote>
  <w:endnote w:type="continuationSeparator" w:id="0">
    <w:p w:rsidR="00515DBB" w:rsidRDefault="00515DBB" w:rsidP="00B4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BB" w:rsidRDefault="00515DBB" w:rsidP="00B4283C">
      <w:pPr>
        <w:spacing w:after="0" w:line="240" w:lineRule="auto"/>
      </w:pPr>
      <w:r>
        <w:separator/>
      </w:r>
    </w:p>
  </w:footnote>
  <w:footnote w:type="continuationSeparator" w:id="0">
    <w:p w:rsidR="00515DBB" w:rsidRDefault="00515DBB" w:rsidP="00B42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D1C"/>
    <w:rsid w:val="00014EA4"/>
    <w:rsid w:val="00020AC3"/>
    <w:rsid w:val="0004178E"/>
    <w:rsid w:val="000B4A15"/>
    <w:rsid w:val="001F1618"/>
    <w:rsid w:val="00227C6E"/>
    <w:rsid w:val="002E2D1C"/>
    <w:rsid w:val="0042023E"/>
    <w:rsid w:val="00421A9E"/>
    <w:rsid w:val="00515DBB"/>
    <w:rsid w:val="005777C1"/>
    <w:rsid w:val="005808C1"/>
    <w:rsid w:val="005E5BF2"/>
    <w:rsid w:val="005F3E51"/>
    <w:rsid w:val="006A3474"/>
    <w:rsid w:val="006F4791"/>
    <w:rsid w:val="007C47CF"/>
    <w:rsid w:val="007D738F"/>
    <w:rsid w:val="007E3EE2"/>
    <w:rsid w:val="008B5B35"/>
    <w:rsid w:val="008F276B"/>
    <w:rsid w:val="00914E64"/>
    <w:rsid w:val="009334B2"/>
    <w:rsid w:val="00A10E9F"/>
    <w:rsid w:val="00A41115"/>
    <w:rsid w:val="00A96724"/>
    <w:rsid w:val="00B4283C"/>
    <w:rsid w:val="00BB4CE5"/>
    <w:rsid w:val="00C6397E"/>
    <w:rsid w:val="00CF6DC5"/>
    <w:rsid w:val="00D05C8C"/>
    <w:rsid w:val="00D320A9"/>
    <w:rsid w:val="00D51DD1"/>
    <w:rsid w:val="00D667CA"/>
    <w:rsid w:val="00E33C77"/>
    <w:rsid w:val="00E935D7"/>
    <w:rsid w:val="00F1597B"/>
    <w:rsid w:val="00F20CD4"/>
    <w:rsid w:val="00F32219"/>
    <w:rsid w:val="00FB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D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42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4283C"/>
  </w:style>
  <w:style w:type="paragraph" w:styleId="Rodap">
    <w:name w:val="footer"/>
    <w:basedOn w:val="Normal"/>
    <w:link w:val="RodapChar"/>
    <w:uiPriority w:val="99"/>
    <w:semiHidden/>
    <w:unhideWhenUsed/>
    <w:rsid w:val="00B42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4283C"/>
  </w:style>
  <w:style w:type="paragraph" w:styleId="Textodebalo">
    <w:name w:val="Balloon Text"/>
    <w:basedOn w:val="Normal"/>
    <w:link w:val="TextodebaloChar"/>
    <w:uiPriority w:val="99"/>
    <w:semiHidden/>
    <w:unhideWhenUsed/>
    <w:rsid w:val="00B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83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14EA4"/>
    <w:rPr>
      <w:color w:val="0000FF" w:themeColor="hyperlink"/>
      <w:u w:val="single"/>
    </w:rPr>
  </w:style>
  <w:style w:type="character" w:customStyle="1" w:styleId="Fontepargpadro2">
    <w:name w:val="Fonte parág. padrão2"/>
    <w:rsid w:val="005808C1"/>
  </w:style>
  <w:style w:type="paragraph" w:customStyle="1" w:styleId="Normal2">
    <w:name w:val="Normal2"/>
    <w:rsid w:val="005808C1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1">
    <w:name w:val="Normal1"/>
    <w:rsid w:val="005808C1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gi">
    <w:name w:val="gi"/>
    <w:basedOn w:val="Fontepargpadro"/>
    <w:rsid w:val="00577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997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da 7a Regiao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2022-10-20T18:16:00Z</dcterms:created>
  <dcterms:modified xsi:type="dcterms:W3CDTF">2022-10-25T17:24:00Z</dcterms:modified>
</cp:coreProperties>
</file>